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C0354" w14:textId="1647CA34" w:rsidR="0019002A" w:rsidRPr="0019002A" w:rsidRDefault="0019002A" w:rsidP="0019002A">
      <w:pPr>
        <w:tabs>
          <w:tab w:val="left" w:pos="288"/>
          <w:tab w:val="right" w:leader="dot" w:pos="8928"/>
        </w:tabs>
        <w:spacing w:after="0" w:line="240" w:lineRule="auto"/>
        <w:ind w:left="432" w:right="432"/>
        <w:rPr>
          <w:rFonts w:ascii="Aptos" w:eastAsia="Times New Roman" w:hAnsi="Aptos" w:cs="Arial"/>
          <w:b/>
          <w:bCs/>
          <w:color w:val="002E5D"/>
          <w:sz w:val="44"/>
          <w:szCs w:val="44"/>
        </w:rPr>
      </w:pPr>
      <w:r w:rsidRPr="009B5745">
        <w:rPr>
          <w:rFonts w:ascii="Univers (W1)" w:eastAsia="Times New Roman" w:hAnsi="Univers (W1)" w:cs="Times New Roman"/>
          <w:noProof/>
          <w:sz w:val="20"/>
          <w:szCs w:val="20"/>
        </w:rPr>
        <mc:AlternateContent>
          <mc:Choice Requires="wpg">
            <w:drawing>
              <wp:anchor distT="0" distB="0" distL="114300" distR="114300" simplePos="0" relativeHeight="251661312" behindDoc="0" locked="0" layoutInCell="1" allowOverlap="1" wp14:anchorId="5B24F259" wp14:editId="1D759F35">
                <wp:simplePos x="0" y="0"/>
                <wp:positionH relativeFrom="column">
                  <wp:posOffset>-419100</wp:posOffset>
                </wp:positionH>
                <wp:positionV relativeFrom="paragraph">
                  <wp:posOffset>-723900</wp:posOffset>
                </wp:positionV>
                <wp:extent cx="1003300" cy="1003300"/>
                <wp:effectExtent l="0" t="0" r="25400" b="25400"/>
                <wp:wrapNone/>
                <wp:docPr id="1942136301" name="Group 4"/>
                <wp:cNvGraphicFramePr/>
                <a:graphic xmlns:a="http://schemas.openxmlformats.org/drawingml/2006/main">
                  <a:graphicData uri="http://schemas.microsoft.com/office/word/2010/wordprocessingGroup">
                    <wpg:wgp>
                      <wpg:cNvGrpSpPr/>
                      <wpg:grpSpPr>
                        <a:xfrm>
                          <a:off x="0" y="0"/>
                          <a:ext cx="1003300" cy="1003300"/>
                          <a:chOff x="-24" y="0"/>
                          <a:chExt cx="1003866" cy="1003864"/>
                        </a:xfrm>
                      </wpg:grpSpPr>
                      <wps:wsp>
                        <wps:cNvPr id="2073702317" name="Oval 3"/>
                        <wps:cNvSpPr/>
                        <wps:spPr>
                          <a:xfrm>
                            <a:off x="-24" y="0"/>
                            <a:ext cx="1003866" cy="1003864"/>
                          </a:xfrm>
                          <a:prstGeom prst="ellipse">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13385436" name="Picture 2" descr="A logo with a map and text&#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42074" y="39269"/>
                            <a:ext cx="923290" cy="9232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048C0A1" id="Group 4" o:spid="_x0000_s1026" style="position:absolute;margin-left:-33pt;margin-top:-57pt;width:79pt;height:79pt;z-index:251661312;mso-width-relative:margin;mso-height-relative:margin" coordorigin="" coordsize="10038,10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&#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">
                <v:oval id="Oval 3" o:spid="_x0000_s1027" style="position:absolute;width:10038;height:10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" fillcolor="window" strokecolor="window"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A logo with a map and text&#10;&#10;AI-generated content may be incorrect." style="position:absolute;left:420;top:392;width:9233;height: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">
                  <v:imagedata r:id="rId12" o:title="A logo with a map and text&#10;&#10;AI-generated content may be incorrect"/>
                </v:shape>
              </v:group>
            </w:pict>
          </mc:Fallback>
        </mc:AlternateContent>
      </w:r>
      <w:r w:rsidRPr="009B5745">
        <w:rPr>
          <w:rFonts w:ascii="Univers (W1)" w:eastAsia="Times New Roman" w:hAnsi="Univers (W1)" w:cs="Times New Roman"/>
          <w:noProof/>
          <w:sz w:val="20"/>
          <w:szCs w:val="20"/>
          <w14:ligatures w14:val="standardContextual"/>
        </w:rPr>
        <mc:AlternateContent>
          <mc:Choice Requires="wps">
            <w:drawing>
              <wp:anchor distT="0" distB="0" distL="114300" distR="114300" simplePos="0" relativeHeight="251659264" behindDoc="1" locked="0" layoutInCell="1" allowOverlap="1" wp14:anchorId="2AA7AE01" wp14:editId="7E1E438D">
                <wp:simplePos x="0" y="0"/>
                <wp:positionH relativeFrom="page">
                  <wp:posOffset>9525</wp:posOffset>
                </wp:positionH>
                <wp:positionV relativeFrom="paragraph">
                  <wp:posOffset>-914400</wp:posOffset>
                </wp:positionV>
                <wp:extent cx="8125691" cy="1289050"/>
                <wp:effectExtent l="0" t="0" r="8890" b="6350"/>
                <wp:wrapNone/>
                <wp:docPr id="1775038305" name="Rectangle 1"/>
                <wp:cNvGraphicFramePr/>
                <a:graphic xmlns:a="http://schemas.openxmlformats.org/drawingml/2006/main">
                  <a:graphicData uri="http://schemas.microsoft.com/office/word/2010/wordprocessingShape">
                    <wps:wsp>
                      <wps:cNvSpPr/>
                      <wps:spPr>
                        <a:xfrm>
                          <a:off x="0" y="0"/>
                          <a:ext cx="8125691" cy="1289050"/>
                        </a:xfrm>
                        <a:prstGeom prst="rect">
                          <a:avLst/>
                        </a:prstGeom>
                        <a:solidFill>
                          <a:srgbClr val="00295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28F999" id="Rectangle 1" o:spid="_x0000_s1026" style="position:absolute;margin-left:.75pt;margin-top:-1in;width:639.8pt;height:101.5pt;z-index:-2516572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" fillcolor="#002957" stroked="f" strokeweight="1pt">
                <w10:wrap anchorx="page"/>
              </v:rect>
            </w:pict>
          </mc:Fallback>
        </mc:AlternateContent>
      </w:r>
    </w:p>
    <w:p w14:paraId="58786962" w14:textId="77777777" w:rsidR="0019002A" w:rsidRPr="0019002A" w:rsidRDefault="0019002A" w:rsidP="0019002A">
      <w:pPr>
        <w:tabs>
          <w:tab w:val="left" w:pos="288"/>
          <w:tab w:val="right" w:leader="dot" w:pos="8928"/>
        </w:tabs>
        <w:spacing w:after="0" w:line="240" w:lineRule="auto"/>
        <w:ind w:left="432" w:right="432"/>
        <w:rPr>
          <w:rFonts w:ascii="Aptos" w:eastAsia="Times New Roman" w:hAnsi="Aptos" w:cs="Arial"/>
          <w:b/>
          <w:bCs/>
          <w:color w:val="002E5D"/>
          <w:sz w:val="44"/>
          <w:szCs w:val="44"/>
        </w:rPr>
      </w:pPr>
    </w:p>
    <w:p w14:paraId="1E6FB377" w14:textId="77777777" w:rsidR="0019002A" w:rsidRPr="0019002A" w:rsidRDefault="0019002A" w:rsidP="0019002A">
      <w:pPr>
        <w:tabs>
          <w:tab w:val="left" w:pos="288"/>
          <w:tab w:val="right" w:leader="dot" w:pos="8928"/>
        </w:tabs>
        <w:spacing w:after="0" w:line="240" w:lineRule="auto"/>
        <w:ind w:left="432" w:right="432"/>
        <w:rPr>
          <w:rFonts w:ascii="Aptos" w:eastAsia="Times New Roman" w:hAnsi="Aptos" w:cs="Arial"/>
          <w:b/>
          <w:bCs/>
          <w:color w:val="002E5D"/>
          <w:sz w:val="44"/>
          <w:szCs w:val="44"/>
        </w:rPr>
      </w:pPr>
      <w:r w:rsidRPr="0019002A">
        <w:rPr>
          <w:rFonts w:ascii="Aptos" w:eastAsia="Times New Roman" w:hAnsi="Aptos" w:cs="Arial"/>
          <w:b/>
          <w:bCs/>
          <w:color w:val="002E5D"/>
          <w:sz w:val="44"/>
          <w:szCs w:val="44"/>
        </w:rPr>
        <w:t>Community College Pro Forma |</w:t>
      </w:r>
    </w:p>
    <w:p w14:paraId="3E448E0F" w14:textId="77777777" w:rsidR="0019002A" w:rsidRPr="0019002A" w:rsidRDefault="0019002A" w:rsidP="0019002A">
      <w:pPr>
        <w:tabs>
          <w:tab w:val="left" w:pos="288"/>
          <w:tab w:val="right" w:leader="dot" w:pos="8928"/>
        </w:tabs>
        <w:spacing w:after="0" w:line="240" w:lineRule="auto"/>
        <w:ind w:left="432" w:right="432"/>
        <w:rPr>
          <w:rFonts w:ascii="Aptos" w:eastAsia="Times New Roman" w:hAnsi="Aptos" w:cs="Arial"/>
          <w:b/>
          <w:bCs/>
          <w:color w:val="002E5D"/>
        </w:rPr>
      </w:pPr>
      <w:r w:rsidRPr="0019002A">
        <w:rPr>
          <w:rFonts w:ascii="Aptos" w:eastAsia="Times New Roman" w:hAnsi="Aptos" w:cs="Arial"/>
          <w:b/>
          <w:bCs/>
          <w:color w:val="002E5D"/>
          <w:sz w:val="44"/>
          <w:szCs w:val="44"/>
        </w:rPr>
        <w:t>Disclaimer</w:t>
      </w:r>
    </w:p>
    <w:p w14:paraId="670AA745" w14:textId="77777777" w:rsidR="0019002A" w:rsidRPr="0019002A" w:rsidRDefault="0019002A" w:rsidP="0019002A">
      <w:pPr>
        <w:pBdr>
          <w:bottom w:val="single" w:sz="12" w:space="4" w:color="002B60"/>
        </w:pBdr>
        <w:tabs>
          <w:tab w:val="left" w:pos="288"/>
          <w:tab w:val="right" w:leader="dot" w:pos="8928"/>
        </w:tabs>
        <w:spacing w:after="0" w:line="240" w:lineRule="auto"/>
        <w:ind w:left="432" w:right="432"/>
        <w:rPr>
          <w:rFonts w:ascii="Aptos" w:eastAsia="Times New Roman" w:hAnsi="Aptos" w:cs="Arial"/>
          <w:b/>
          <w:bCs/>
          <w:color w:val="002E5D"/>
        </w:rPr>
      </w:pPr>
    </w:p>
    <w:p w14:paraId="1EBFE965" w14:textId="77777777" w:rsidR="0019002A" w:rsidRPr="0019002A" w:rsidRDefault="0019002A" w:rsidP="0019002A">
      <w:pPr>
        <w:tabs>
          <w:tab w:val="left" w:pos="288"/>
          <w:tab w:val="right" w:leader="dot" w:pos="8928"/>
        </w:tabs>
        <w:spacing w:before="240" w:after="240" w:line="240" w:lineRule="auto"/>
        <w:ind w:left="432" w:right="432"/>
        <w:jc w:val="both"/>
        <w:rPr>
          <w:rFonts w:ascii="Aptos" w:eastAsia="Times New Roman" w:hAnsi="Aptos" w:cs="Arial"/>
          <w:color w:val="000000" w:themeColor="text1"/>
        </w:rPr>
      </w:pPr>
      <w:r w:rsidRPr="0019002A">
        <w:rPr>
          <w:rFonts w:ascii="Aptos" w:eastAsia="Times New Roman" w:hAnsi="Aptos" w:cs="Arial"/>
          <w:color w:val="000000" w:themeColor="text1"/>
        </w:rPr>
        <w:t>The Community College Pro Forma serves as a guide for the most common financial reporting scenarios applicable to NC Community College System institutions; however, financial reporting rests solely with management of each institution. Each institution’s financial statement package should be modified to reflect the specific institution.</w:t>
      </w:r>
    </w:p>
    <w:p w14:paraId="43698DAD" w14:textId="77777777" w:rsidR="0019002A" w:rsidRDefault="0019002A" w:rsidP="0019002A">
      <w:pPr>
        <w:tabs>
          <w:tab w:val="left" w:pos="288"/>
          <w:tab w:val="right" w:leader="dot" w:pos="8928"/>
        </w:tabs>
        <w:spacing w:after="0" w:line="240" w:lineRule="auto"/>
        <w:ind w:left="432" w:right="432"/>
        <w:jc w:val="both"/>
        <w:rPr>
          <w:rFonts w:ascii="Aptos" w:eastAsia="Times New Roman" w:hAnsi="Aptos" w:cs="Arial"/>
          <w:color w:val="000000" w:themeColor="text1"/>
        </w:rPr>
      </w:pPr>
      <w:r w:rsidRPr="0019002A">
        <w:rPr>
          <w:rFonts w:ascii="Aptos" w:eastAsia="Times New Roman" w:hAnsi="Aptos" w:cs="Arial"/>
          <w:color w:val="000000" w:themeColor="text1"/>
        </w:rPr>
        <w:t xml:space="preserve">The Community College Pro Forma does </w:t>
      </w:r>
      <w:r w:rsidRPr="0019002A">
        <w:rPr>
          <w:rFonts w:ascii="Aptos" w:eastAsia="Times New Roman" w:hAnsi="Aptos" w:cs="Arial"/>
          <w:b/>
          <w:bCs/>
          <w:color w:val="000000" w:themeColor="text1"/>
          <w:u w:val="single"/>
        </w:rPr>
        <w:t>not</w:t>
      </w:r>
      <w:r w:rsidRPr="0019002A">
        <w:rPr>
          <w:rFonts w:ascii="Aptos" w:eastAsia="Times New Roman" w:hAnsi="Aptos" w:cs="Arial"/>
          <w:color w:val="000000" w:themeColor="text1"/>
        </w:rPr>
        <w:t xml:space="preserve"> reflect all potential GASB requirements that could apply to each institution. Refer to the GASB Codification to determine all financial reporting requirements applicable to each institution. </w:t>
      </w:r>
    </w:p>
    <w:p w14:paraId="7048C160" w14:textId="77777777" w:rsidR="0019002A" w:rsidRPr="006E62A6" w:rsidRDefault="0019002A" w:rsidP="0019002A">
      <w:pPr>
        <w:tabs>
          <w:tab w:val="left" w:pos="288"/>
          <w:tab w:val="right" w:leader="dot" w:pos="8928"/>
        </w:tabs>
        <w:spacing w:before="240" w:after="240" w:line="240" w:lineRule="auto"/>
        <w:ind w:left="432" w:right="432"/>
        <w:jc w:val="both"/>
        <w:rPr>
          <w:rFonts w:ascii="Aptos" w:eastAsia="Times New Roman" w:hAnsi="Aptos" w:cs="Arial"/>
          <w:color w:val="000000" w:themeColor="text1"/>
        </w:rPr>
      </w:pPr>
      <w:r w:rsidRPr="006E62A6">
        <w:rPr>
          <w:rFonts w:ascii="Aptos" w:eastAsia="Times New Roman" w:hAnsi="Aptos" w:cs="Arial"/>
          <w:color w:val="000000" w:themeColor="text1"/>
          <w:highlight w:val="yellow"/>
        </w:rPr>
        <w:t xml:space="preserve">Note to </w:t>
      </w:r>
      <w:r>
        <w:rPr>
          <w:rFonts w:ascii="Aptos" w:eastAsia="Times New Roman" w:hAnsi="Aptos" w:cs="Arial"/>
          <w:color w:val="000000" w:themeColor="text1"/>
          <w:highlight w:val="yellow"/>
        </w:rPr>
        <w:t>Preparers</w:t>
      </w:r>
      <w:r w:rsidRPr="006E62A6">
        <w:rPr>
          <w:rFonts w:ascii="Aptos" w:eastAsia="Times New Roman" w:hAnsi="Aptos" w:cs="Arial"/>
          <w:color w:val="000000" w:themeColor="text1"/>
          <w:highlight w:val="yellow"/>
        </w:rPr>
        <w:t xml:space="preserve">: The tables in this document are best experienced when </w:t>
      </w:r>
      <w:r>
        <w:rPr>
          <w:rFonts w:ascii="Aptos" w:eastAsia="Times New Roman" w:hAnsi="Aptos" w:cs="Arial"/>
          <w:color w:val="000000" w:themeColor="text1"/>
          <w:highlight w:val="yellow"/>
        </w:rPr>
        <w:t>W</w:t>
      </w:r>
      <w:r w:rsidRPr="006E62A6">
        <w:rPr>
          <w:rFonts w:ascii="Aptos" w:eastAsia="Times New Roman" w:hAnsi="Aptos" w:cs="Arial"/>
          <w:color w:val="000000" w:themeColor="text1"/>
          <w:highlight w:val="yellow"/>
        </w:rPr>
        <w:t>ord is optimized for best appearance under options. Also, it is recommended that users do not roll forward older tables. Older tables may not be compatible with OSA audit applications.</w:t>
      </w:r>
    </w:p>
    <w:p w14:paraId="072C5FBC" w14:textId="77777777" w:rsidR="0019002A" w:rsidRPr="0019002A" w:rsidRDefault="0019002A" w:rsidP="0019002A">
      <w:pPr>
        <w:tabs>
          <w:tab w:val="left" w:pos="288"/>
          <w:tab w:val="right" w:leader="dot" w:pos="8928"/>
        </w:tabs>
        <w:spacing w:after="0" w:line="240" w:lineRule="auto"/>
        <w:ind w:left="432" w:right="432"/>
        <w:jc w:val="both"/>
        <w:rPr>
          <w:rFonts w:ascii="Aptos" w:eastAsia="Times New Roman" w:hAnsi="Aptos" w:cs="Arial"/>
          <w:color w:val="000000" w:themeColor="text1"/>
          <w:sz w:val="44"/>
          <w:szCs w:val="44"/>
        </w:rPr>
      </w:pPr>
    </w:p>
    <w:p w14:paraId="5D62D7E7" w14:textId="77777777" w:rsidR="0019002A" w:rsidRDefault="0019002A" w:rsidP="00520649">
      <w:pPr>
        <w:spacing w:before="2040" w:after="0" w:line="240" w:lineRule="auto"/>
        <w:jc w:val="center"/>
        <w:rPr>
          <w:rFonts w:ascii="Times New Roman" w:eastAsia="Times New Roman" w:hAnsi="Times New Roman" w:cs="Times New Roman"/>
          <w:noProof/>
          <w:sz w:val="24"/>
          <w:szCs w:val="20"/>
        </w:rPr>
        <w:sectPr w:rsidR="0019002A" w:rsidSect="00B531E4">
          <w:pgSz w:w="12240" w:h="15840" w:code="1"/>
          <w:pgMar w:top="1440" w:right="1440" w:bottom="1440" w:left="1440" w:header="720" w:footer="720" w:gutter="0"/>
          <w:cols w:space="720"/>
          <w:docGrid w:linePitch="360"/>
        </w:sectPr>
      </w:pPr>
    </w:p>
    <w:p w14:paraId="402679C8" w14:textId="77777777" w:rsidR="00520649" w:rsidRPr="00520649" w:rsidRDefault="00520649" w:rsidP="00520649">
      <w:pPr>
        <w:spacing w:before="2040" w:after="0" w:line="240" w:lineRule="auto"/>
        <w:jc w:val="center"/>
        <w:rPr>
          <w:rFonts w:ascii="Times New Roman" w:eastAsia="Times New Roman" w:hAnsi="Times New Roman" w:cs="Times New Roman"/>
          <w:noProof/>
          <w:sz w:val="24"/>
          <w:szCs w:val="20"/>
        </w:rPr>
      </w:pPr>
      <w:r w:rsidRPr="00520649">
        <w:rPr>
          <w:rFonts w:ascii="Times New Roman" w:eastAsia="Times New Roman" w:hAnsi="Times New Roman" w:cs="Times New Roman"/>
          <w:noProof/>
          <w:sz w:val="24"/>
          <w:szCs w:val="20"/>
        </w:rPr>
        <w:lastRenderedPageBreak/>
        <w:drawing>
          <wp:inline distT="0" distB="0" distL="0" distR="0" wp14:anchorId="40267B95" wp14:editId="6E06022F">
            <wp:extent cx="1200150" cy="1200150"/>
            <wp:effectExtent l="0" t="0" r="0" b="0"/>
            <wp:docPr id="24"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99"/>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200150" cy="1200150"/>
                    </a:xfrm>
                    <a:prstGeom prst="rect">
                      <a:avLst/>
                    </a:prstGeom>
                  </pic:spPr>
                </pic:pic>
              </a:graphicData>
            </a:graphic>
          </wp:inline>
        </w:drawing>
      </w:r>
    </w:p>
    <w:p w14:paraId="402679C9" w14:textId="77777777" w:rsidR="00520649" w:rsidRPr="00520649" w:rsidRDefault="00520649" w:rsidP="00520649">
      <w:pPr>
        <w:spacing w:after="0" w:line="240" w:lineRule="auto"/>
        <w:jc w:val="center"/>
        <w:rPr>
          <w:rFonts w:ascii="Arial Bold" w:eastAsia="Times New Roman" w:hAnsi="Arial Bold" w:cs="Times New Roman"/>
          <w:smallCaps/>
          <w:sz w:val="96"/>
          <w:szCs w:val="96"/>
        </w:rPr>
      </w:pPr>
    </w:p>
    <w:p w14:paraId="402679CA" w14:textId="77777777" w:rsidR="00520649" w:rsidRPr="00D21499" w:rsidRDefault="00520649" w:rsidP="00F86ACA">
      <w:pPr>
        <w:pStyle w:val="OSATitleStyle1"/>
        <w:rPr>
          <w:smallCaps/>
        </w:rPr>
      </w:pPr>
      <w:r w:rsidRPr="00293054">
        <w:t>Management</w:t>
      </w:r>
      <w:r w:rsidRPr="00293054">
        <w:rPr>
          <w:rFonts w:hint="eastAsia"/>
        </w:rPr>
        <w:t>’</w:t>
      </w:r>
      <w:r w:rsidRPr="00293054">
        <w:t>s Discussion and Analysis</w:t>
      </w:r>
    </w:p>
    <w:p w14:paraId="402679CB" w14:textId="77777777" w:rsidR="00520649" w:rsidRDefault="00520649" w:rsidP="00520649">
      <w:pPr>
        <w:spacing w:after="0" w:line="240" w:lineRule="auto"/>
        <w:jc w:val="center"/>
        <w:rPr>
          <w:rFonts w:ascii="Arial" w:eastAsia="Times New Roman" w:hAnsi="Arial" w:cs="Arial"/>
          <w:b/>
          <w:smallCaps/>
          <w:sz w:val="96"/>
          <w:szCs w:val="96"/>
        </w:rPr>
        <w:sectPr w:rsidR="00520649" w:rsidSect="00CB1C45">
          <w:pgSz w:w="12240" w:h="15840" w:code="1"/>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p>
    <w:p w14:paraId="411B45B6" w14:textId="2F26A7EC" w:rsidR="0019002A" w:rsidRPr="00DF0426" w:rsidRDefault="0019002A" w:rsidP="0019002A">
      <w:pPr>
        <w:spacing w:after="0" w:line="264" w:lineRule="auto"/>
        <w:jc w:val="both"/>
        <w:rPr>
          <w:rFonts w:ascii="Aptos" w:eastAsia="Times New Roman" w:hAnsi="Aptos" w:cs="Arial"/>
          <w:color w:val="0000FF"/>
        </w:rPr>
      </w:pPr>
      <w:r w:rsidRPr="00DF0426">
        <w:rPr>
          <w:rFonts w:ascii="Aptos" w:eastAsia="Times New Roman" w:hAnsi="Aptos" w:cs="Arial"/>
          <w:b/>
          <w:bCs/>
          <w:color w:val="0000FF"/>
          <w:highlight w:val="yellow"/>
        </w:rPr>
        <w:lastRenderedPageBreak/>
        <w:t xml:space="preserve">Note </w:t>
      </w:r>
      <w:r>
        <w:rPr>
          <w:rFonts w:ascii="Aptos" w:eastAsia="Times New Roman" w:hAnsi="Aptos" w:cs="Arial"/>
          <w:b/>
          <w:bCs/>
          <w:color w:val="0000FF"/>
          <w:highlight w:val="yellow"/>
        </w:rPr>
        <w:t>to</w:t>
      </w:r>
      <w:r w:rsidRPr="00DF0426">
        <w:rPr>
          <w:rFonts w:ascii="Aptos" w:eastAsia="Times New Roman" w:hAnsi="Aptos" w:cs="Arial"/>
          <w:b/>
          <w:bCs/>
          <w:color w:val="0000FF"/>
          <w:highlight w:val="yellow"/>
        </w:rPr>
        <w:t xml:space="preserve"> Preparer:</w:t>
      </w:r>
      <w:r w:rsidRPr="00DF0426">
        <w:rPr>
          <w:rFonts w:ascii="Aptos" w:eastAsia="Times New Roman" w:hAnsi="Aptos" w:cs="Arial"/>
          <w:color w:val="0000FF"/>
          <w:highlight w:val="yellow"/>
        </w:rPr>
        <w:t xml:space="preserve"> Effective for fiscal year 2026, GASB Statement No. 103,</w:t>
      </w:r>
      <w:r w:rsidRPr="00DF0426">
        <w:rPr>
          <w:rFonts w:ascii="Aptos" w:eastAsia="Times New Roman" w:hAnsi="Aptos" w:cs="Arial"/>
          <w:i/>
          <w:iCs/>
          <w:color w:val="0000FF"/>
          <w:highlight w:val="yellow"/>
        </w:rPr>
        <w:t xml:space="preserve"> Financial Reporting Model Improvements</w:t>
      </w:r>
      <w:r w:rsidRPr="00DF0426">
        <w:rPr>
          <w:rFonts w:ascii="Aptos" w:eastAsia="Times New Roman" w:hAnsi="Aptos" w:cs="Arial"/>
          <w:color w:val="0000FF"/>
          <w:highlight w:val="yellow"/>
        </w:rPr>
        <w:t>, introduces updated requirements for Management’s Discussion and Analysis. Refer to paragraphs 4 through 8 for detailed guidance on these requirements.</w:t>
      </w:r>
      <w:r w:rsidRPr="00DF0426">
        <w:rPr>
          <w:rFonts w:ascii="Aptos" w:eastAsia="Times New Roman" w:hAnsi="Aptos" w:cs="Arial"/>
          <w:color w:val="0000FF"/>
        </w:rPr>
        <w:t xml:space="preserve"> </w:t>
      </w:r>
    </w:p>
    <w:p w14:paraId="6507768F" w14:textId="77777777" w:rsidR="0019002A" w:rsidRDefault="0019002A" w:rsidP="00520649">
      <w:pPr>
        <w:spacing w:after="0" w:line="240" w:lineRule="auto"/>
        <w:jc w:val="center"/>
        <w:rPr>
          <w:rFonts w:ascii="Trebuchet MS" w:eastAsia="Times New Roman" w:hAnsi="Trebuchet MS" w:cs="Arial"/>
          <w:sz w:val="96"/>
          <w:szCs w:val="96"/>
        </w:rPr>
      </w:pPr>
    </w:p>
    <w:p w14:paraId="402679CC" w14:textId="7EBE491A" w:rsidR="00520649" w:rsidRPr="00F86ACA" w:rsidRDefault="00520649" w:rsidP="00520649">
      <w:pPr>
        <w:spacing w:after="0" w:line="240" w:lineRule="auto"/>
        <w:jc w:val="center"/>
        <w:rPr>
          <w:rFonts w:ascii="Trebuchet MS" w:eastAsia="Times New Roman" w:hAnsi="Trebuchet MS" w:cs="Arial"/>
          <w:sz w:val="96"/>
          <w:szCs w:val="96"/>
        </w:rPr>
      </w:pPr>
      <w:r w:rsidRPr="00F86ACA">
        <w:rPr>
          <w:rFonts w:ascii="Trebuchet MS" w:eastAsia="Times New Roman" w:hAnsi="Trebuchet MS" w:cs="Arial"/>
          <w:sz w:val="96"/>
          <w:szCs w:val="96"/>
        </w:rPr>
        <w:t>Insert Management’s Discussion and Analysis Here</w:t>
      </w:r>
    </w:p>
    <w:p w14:paraId="402679CD" w14:textId="77777777" w:rsidR="00520649" w:rsidRDefault="00520649" w:rsidP="00520649">
      <w:pPr>
        <w:spacing w:after="0" w:line="240" w:lineRule="auto"/>
        <w:jc w:val="center"/>
        <w:rPr>
          <w:rFonts w:ascii="Arial" w:eastAsia="Times New Roman" w:hAnsi="Arial" w:cs="Arial"/>
          <w:smallCaps/>
          <w:sz w:val="96"/>
          <w:szCs w:val="96"/>
        </w:rPr>
        <w:sectPr w:rsidR="00520649" w:rsidSect="00F34E2E">
          <w:headerReference w:type="even" r:id="rId14"/>
          <w:headerReference w:type="default" r:id="rId15"/>
          <w:headerReference w:type="first" r:id="rId16"/>
          <w:pgSz w:w="12240" w:h="15840" w:code="1"/>
          <w:pgMar w:top="1440" w:right="1584" w:bottom="1440" w:left="1584" w:header="720" w:footer="720" w:gutter="0"/>
          <w:cols w:space="720"/>
          <w:docGrid w:linePitch="360"/>
        </w:sectPr>
      </w:pPr>
    </w:p>
    <w:p w14:paraId="402679CE" w14:textId="77777777" w:rsidR="00520649" w:rsidRPr="00520649" w:rsidRDefault="00520649" w:rsidP="00F34E2E">
      <w:pPr>
        <w:spacing w:before="2040" w:after="0" w:line="240" w:lineRule="auto"/>
        <w:jc w:val="center"/>
        <w:rPr>
          <w:rFonts w:ascii="Arial Bold" w:eastAsia="Times New Roman" w:hAnsi="Arial Bold" w:cs="Times New Roman"/>
          <w:smallCaps/>
        </w:rPr>
      </w:pPr>
      <w:r w:rsidRPr="00520649">
        <w:rPr>
          <w:rFonts w:ascii="Times New Roman" w:eastAsia="Times New Roman" w:hAnsi="Times New Roman" w:cs="Times New Roman"/>
          <w:noProof/>
          <w:sz w:val="24"/>
          <w:szCs w:val="20"/>
        </w:rPr>
        <w:lastRenderedPageBreak/>
        <w:drawing>
          <wp:inline distT="0" distB="0" distL="0" distR="0" wp14:anchorId="40267B97" wp14:editId="1BFDADEC">
            <wp:extent cx="1200150" cy="1200150"/>
            <wp:effectExtent l="0" t="0" r="0" b="0"/>
            <wp:docPr id="25"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99"/>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200150" cy="1200150"/>
                    </a:xfrm>
                    <a:prstGeom prst="rect">
                      <a:avLst/>
                    </a:prstGeom>
                  </pic:spPr>
                </pic:pic>
              </a:graphicData>
            </a:graphic>
          </wp:inline>
        </w:drawing>
      </w:r>
    </w:p>
    <w:p w14:paraId="402679CF" w14:textId="77777777" w:rsidR="00520649" w:rsidRPr="00520649" w:rsidRDefault="00520649" w:rsidP="00520649">
      <w:pPr>
        <w:spacing w:after="0" w:line="240" w:lineRule="auto"/>
        <w:jc w:val="center"/>
        <w:rPr>
          <w:rFonts w:ascii="Arial Bold" w:eastAsia="Times New Roman" w:hAnsi="Arial Bold" w:cs="Times New Roman"/>
          <w:smallCaps/>
          <w:sz w:val="96"/>
          <w:szCs w:val="96"/>
        </w:rPr>
      </w:pPr>
    </w:p>
    <w:p w14:paraId="402679D0" w14:textId="77777777" w:rsidR="00520649" w:rsidRPr="00F86ACA" w:rsidRDefault="00520649" w:rsidP="00F86ACA">
      <w:pPr>
        <w:pStyle w:val="OSATitleStyle1"/>
        <w:sectPr w:rsidR="00520649" w:rsidRPr="00F86ACA" w:rsidSect="00F34E2E">
          <w:footerReference w:type="first" r:id="rId17"/>
          <w:pgSz w:w="12240" w:h="15840" w:code="1"/>
          <w:pgMar w:top="1440" w:right="1584" w:bottom="1440" w:left="1584" w:header="864" w:footer="720" w:gutter="0"/>
          <w:pgBorders w:display="firstPage" w:offsetFrom="page">
            <w:top w:val="single" w:sz="4" w:space="24" w:color="auto"/>
            <w:left w:val="single" w:sz="4" w:space="24" w:color="auto"/>
            <w:bottom w:val="single" w:sz="4" w:space="24" w:color="auto"/>
            <w:right w:val="single" w:sz="4" w:space="24" w:color="auto"/>
          </w:pgBorders>
          <w:cols w:space="720"/>
          <w:titlePg/>
          <w:docGrid w:linePitch="360"/>
        </w:sectPr>
      </w:pPr>
      <w:r w:rsidRPr="00F86ACA">
        <w:t>Financial Statements</w:t>
      </w:r>
    </w:p>
    <w:p w14:paraId="402679D1" w14:textId="77777777" w:rsidR="00520649" w:rsidRPr="00F86ACA" w:rsidRDefault="00520649" w:rsidP="00520649">
      <w:pPr>
        <w:spacing w:after="0" w:line="240" w:lineRule="auto"/>
        <w:jc w:val="center"/>
        <w:rPr>
          <w:rFonts w:ascii="Trebuchet MS" w:hAnsi="Trebuchet MS" w:cs="Arial"/>
          <w:sz w:val="96"/>
          <w:szCs w:val="96"/>
        </w:rPr>
        <w:sectPr w:rsidR="00520649" w:rsidRPr="00F86ACA" w:rsidSect="002F4326">
          <w:pgSz w:w="12240" w:h="15840" w:code="1"/>
          <w:pgMar w:top="1440" w:right="1440" w:bottom="1440" w:left="1440" w:header="720" w:footer="720" w:gutter="0"/>
          <w:cols w:space="720"/>
          <w:titlePg/>
          <w:docGrid w:linePitch="360"/>
        </w:sectPr>
      </w:pPr>
      <w:r w:rsidRPr="00F86ACA">
        <w:rPr>
          <w:rFonts w:ascii="Trebuchet MS" w:hAnsi="Trebuchet MS" w:cs="Arial"/>
          <w:sz w:val="96"/>
          <w:szCs w:val="96"/>
        </w:rPr>
        <w:lastRenderedPageBreak/>
        <w:t>Insert Financial Statements Here</w:t>
      </w:r>
    </w:p>
    <w:p w14:paraId="402679D2" w14:textId="77777777" w:rsidR="00520649" w:rsidRPr="00520649" w:rsidRDefault="00520649" w:rsidP="00F34E2E">
      <w:pPr>
        <w:spacing w:before="2040" w:after="0" w:line="240" w:lineRule="auto"/>
        <w:jc w:val="center"/>
        <w:rPr>
          <w:rFonts w:ascii="Arial Bold" w:eastAsia="Times New Roman" w:hAnsi="Arial Bold" w:cs="Times New Roman"/>
          <w:smallCaps/>
        </w:rPr>
      </w:pPr>
      <w:r w:rsidRPr="00520649">
        <w:rPr>
          <w:rFonts w:ascii="Times New Roman" w:eastAsia="Times New Roman" w:hAnsi="Times New Roman" w:cs="Times New Roman"/>
          <w:noProof/>
          <w:sz w:val="24"/>
          <w:szCs w:val="20"/>
        </w:rPr>
        <w:lastRenderedPageBreak/>
        <w:drawing>
          <wp:inline distT="0" distB="0" distL="0" distR="0" wp14:anchorId="40267B99" wp14:editId="79430AAE">
            <wp:extent cx="1200150" cy="1200150"/>
            <wp:effectExtent l="0" t="0" r="0" b="0"/>
            <wp:docPr id="26"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99"/>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200150" cy="1200150"/>
                    </a:xfrm>
                    <a:prstGeom prst="rect">
                      <a:avLst/>
                    </a:prstGeom>
                  </pic:spPr>
                </pic:pic>
              </a:graphicData>
            </a:graphic>
          </wp:inline>
        </w:drawing>
      </w:r>
    </w:p>
    <w:p w14:paraId="402679D3" w14:textId="77777777" w:rsidR="00520649" w:rsidRPr="00520649" w:rsidRDefault="00520649" w:rsidP="00520649">
      <w:pPr>
        <w:spacing w:after="0" w:line="240" w:lineRule="auto"/>
        <w:jc w:val="center"/>
        <w:rPr>
          <w:rFonts w:ascii="Arial Bold" w:eastAsia="Times New Roman" w:hAnsi="Arial Bold" w:cs="Times New Roman"/>
          <w:smallCaps/>
          <w:sz w:val="96"/>
          <w:szCs w:val="96"/>
        </w:rPr>
      </w:pPr>
    </w:p>
    <w:p w14:paraId="402679D4" w14:textId="77777777" w:rsidR="00841121" w:rsidRPr="00F86ACA" w:rsidRDefault="00520649" w:rsidP="00F86ACA">
      <w:pPr>
        <w:pStyle w:val="OSATitleStyle1"/>
        <w:sectPr w:rsidR="00841121" w:rsidRPr="00F86ACA" w:rsidSect="00CB1C45">
          <w:pgSz w:w="12240" w:h="15840" w:code="1"/>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r w:rsidRPr="00F86ACA">
        <w:t>Notes to the Financial Statements</w:t>
      </w:r>
    </w:p>
    <w:p w14:paraId="1446DEBD" w14:textId="40734C92" w:rsidR="009D62EA" w:rsidRPr="00A72825" w:rsidRDefault="009D62EA" w:rsidP="009D62EA">
      <w:pPr>
        <w:spacing w:after="240" w:line="240" w:lineRule="auto"/>
        <w:jc w:val="both"/>
        <w:rPr>
          <w:rFonts w:ascii="Aptos" w:eastAsia="Times New Roman" w:hAnsi="Aptos" w:cs="Arial"/>
          <w:b/>
          <w:i/>
          <w:color w:val="0000FF"/>
          <w:sz w:val="24"/>
          <w:szCs w:val="24"/>
        </w:rPr>
      </w:pPr>
      <w:r w:rsidRPr="00A72825">
        <w:rPr>
          <w:rFonts w:ascii="Aptos" w:eastAsia="Times New Roman" w:hAnsi="Aptos" w:cs="Arial"/>
          <w:b/>
          <w:i/>
          <w:color w:val="0000FF"/>
          <w:sz w:val="24"/>
          <w:szCs w:val="24"/>
        </w:rPr>
        <w:lastRenderedPageBreak/>
        <w:t xml:space="preserve">[Note to Preparer: If preparing rounded statements </w:t>
      </w:r>
      <w:r w:rsidRPr="00A72825">
        <w:rPr>
          <w:rFonts w:ascii="Aptos" w:eastAsia="Times New Roman" w:hAnsi="Aptos" w:cs="Arial"/>
          <w:b/>
          <w:i/>
          <w:color w:val="FF0000"/>
          <w:sz w:val="24"/>
          <w:szCs w:val="24"/>
          <w:u w:val="single"/>
        </w:rPr>
        <w:t>ensure that all cents are removed from cell values entirely</w:t>
      </w:r>
      <w:r w:rsidRPr="00A72825">
        <w:rPr>
          <w:rFonts w:ascii="Aptos" w:eastAsia="Times New Roman" w:hAnsi="Aptos" w:cs="Arial"/>
          <w:b/>
          <w:i/>
          <w:color w:val="0000FF"/>
          <w:sz w:val="24"/>
          <w:szCs w:val="24"/>
        </w:rPr>
        <w:t xml:space="preserve"> (i.e. do not just hide cents via cell formatting) to ensure charts will properly foot and crossfoot.]</w:t>
      </w:r>
    </w:p>
    <w:p w14:paraId="7DDBB69F" w14:textId="77777777" w:rsidR="009D62EA" w:rsidRPr="00F346C5" w:rsidRDefault="009D62EA" w:rsidP="00F346C5">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r w:rsidRPr="00F346C5">
        <w:rPr>
          <w:rFonts w:ascii="Aptos" w:eastAsia="Times New Roman" w:hAnsi="Aptos" w:cs="Times New Roman"/>
          <w:b/>
          <w:kern w:val="28"/>
        </w:rPr>
        <w:t>Note 1</w:t>
      </w:r>
      <w:r w:rsidRPr="00F346C5">
        <w:rPr>
          <w:rFonts w:ascii="Aptos" w:eastAsia="Times New Roman" w:hAnsi="Aptos" w:cs="Times New Roman"/>
          <w:b/>
          <w:kern w:val="28"/>
        </w:rPr>
        <w:tab/>
      </w:r>
      <w:r w:rsidRPr="00F346C5">
        <w:rPr>
          <w:rFonts w:ascii="Aptos" w:eastAsia="Times New Roman" w:hAnsi="Aptos" w:cs="Arial"/>
          <w:kern w:val="28"/>
        </w:rPr>
        <w:t>-</w:t>
      </w:r>
      <w:r w:rsidRPr="00F346C5">
        <w:rPr>
          <w:rFonts w:ascii="Aptos" w:eastAsia="Times New Roman" w:hAnsi="Aptos" w:cs="Times New Roman"/>
          <w:b/>
          <w:kern w:val="28"/>
        </w:rPr>
        <w:t xml:space="preserve"> </w:t>
      </w:r>
      <w:r w:rsidRPr="00F346C5">
        <w:rPr>
          <w:rFonts w:ascii="Aptos" w:eastAsia="Times New Roman" w:hAnsi="Aptos" w:cs="Times New Roman"/>
          <w:b/>
          <w:kern w:val="28"/>
        </w:rPr>
        <w:tab/>
        <w:t>Significant Accounting Policies</w:t>
      </w:r>
    </w:p>
    <w:p w14:paraId="70F9FA47" w14:textId="77777777" w:rsidR="009D62EA" w:rsidRPr="00F346C5" w:rsidRDefault="009D62EA" w:rsidP="009D62EA">
      <w:pPr>
        <w:spacing w:after="240" w:line="240" w:lineRule="auto"/>
        <w:ind w:left="360" w:hanging="360"/>
        <w:jc w:val="both"/>
        <w:rPr>
          <w:rFonts w:ascii="Aptos" w:eastAsia="Times New Roman" w:hAnsi="Aptos" w:cs="Arial"/>
        </w:rPr>
      </w:pPr>
      <w:r w:rsidRPr="00F346C5">
        <w:rPr>
          <w:rFonts w:ascii="Aptos" w:eastAsia="Times New Roman" w:hAnsi="Aptos" w:cs="Arial"/>
          <w:b/>
        </w:rPr>
        <w:t>A.</w:t>
      </w:r>
      <w:r w:rsidRPr="00F346C5">
        <w:rPr>
          <w:rFonts w:ascii="Aptos" w:eastAsia="Times New Roman" w:hAnsi="Aptos" w:cs="Arial"/>
          <w:b/>
        </w:rPr>
        <w:tab/>
        <w:t xml:space="preserve">Financial Reporting Entity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rPr>
        <w:t xml:space="preserve">The concept underlying the definition of the financial reporting entity is that elected officials are accountable to their constituents for their actions. As required by accounting principles generally accepted in the United States of America (GAAP), the financial reporting entity includes both the primary government and all of its component units. An organization other than a primary government serves as a nucleus for a reporting entity when it issues separate financial statements. *1 (College) is a component unit of the State of North Carolina and an integral part of the State’s </w:t>
      </w:r>
      <w:r w:rsidRPr="00F346C5">
        <w:rPr>
          <w:rFonts w:ascii="Aptos" w:eastAsia="Times New Roman" w:hAnsi="Aptos" w:cs="Arial"/>
          <w:i/>
        </w:rPr>
        <w:t>Annual Comprehensive Financial Report</w:t>
      </w:r>
      <w:r w:rsidRPr="00F346C5">
        <w:rPr>
          <w:rFonts w:ascii="Aptos" w:eastAsia="Times New Roman" w:hAnsi="Aptos" w:cs="Arial"/>
        </w:rPr>
        <w:t>.</w:t>
      </w:r>
    </w:p>
    <w:p w14:paraId="41037432" w14:textId="77777777"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rPr>
        <w:t>The accompanying financial statements present all funds for which the College’s Board of Trustees is financially accountable. Related foundations and similar nonprofit corporations for which the College is not financially accountable or for which the nature of their relationship is not considered significant to the College are not part of the accompanying financial statements.</w:t>
      </w:r>
    </w:p>
    <w:p w14:paraId="3C8D8C7D" w14:textId="77777777" w:rsidR="009D62EA" w:rsidRPr="00F346C5" w:rsidRDefault="009D62EA" w:rsidP="009D62EA">
      <w:pPr>
        <w:tabs>
          <w:tab w:val="left" w:pos="1560"/>
        </w:tabs>
        <w:spacing w:after="240" w:line="240" w:lineRule="auto"/>
        <w:ind w:left="360"/>
        <w:jc w:val="center"/>
        <w:rPr>
          <w:rFonts w:ascii="Aptos" w:eastAsia="Times New Roman" w:hAnsi="Aptos" w:cs="Arial"/>
          <w:b/>
          <w:i/>
          <w:color w:val="0000FF"/>
        </w:rPr>
      </w:pPr>
      <w:r w:rsidRPr="00F346C5">
        <w:rPr>
          <w:rFonts w:ascii="Aptos" w:eastAsia="Times New Roman" w:hAnsi="Aptos" w:cs="Arial"/>
          <w:b/>
          <w:i/>
          <w:color w:val="0000FF"/>
        </w:rPr>
        <w:t>OR</w:t>
      </w:r>
    </w:p>
    <w:p w14:paraId="1D536796" w14:textId="77777777" w:rsidR="009D62EA" w:rsidRPr="00F346C5" w:rsidRDefault="009D62EA" w:rsidP="009D62EA">
      <w:pPr>
        <w:spacing w:after="240" w:line="240" w:lineRule="auto"/>
        <w:ind w:left="360"/>
        <w:jc w:val="center"/>
        <w:rPr>
          <w:rFonts w:ascii="Aptos" w:eastAsia="Times New Roman" w:hAnsi="Aptos" w:cs="Arial"/>
          <w:b/>
          <w:i/>
          <w:color w:val="0000FF"/>
        </w:rPr>
      </w:pPr>
      <w:r w:rsidRPr="00F346C5">
        <w:rPr>
          <w:rFonts w:ascii="Aptos" w:hAnsi="Aptos" w:cs="Arial"/>
          <w:b/>
          <w:i/>
          <w:color w:val="0000FF"/>
        </w:rPr>
        <w:t>[If the College has a component unit use this option.]</w:t>
      </w:r>
    </w:p>
    <w:p w14:paraId="23B9A69B" w14:textId="77777777" w:rsidR="009D62EA" w:rsidRPr="00F346C5" w:rsidRDefault="009D62EA" w:rsidP="009D62EA">
      <w:pPr>
        <w:spacing w:after="240" w:line="240" w:lineRule="auto"/>
        <w:ind w:left="360" w:hanging="360"/>
        <w:jc w:val="both"/>
        <w:rPr>
          <w:rFonts w:ascii="Aptos" w:eastAsia="Times New Roman" w:hAnsi="Aptos" w:cs="Arial"/>
        </w:rPr>
      </w:pPr>
      <w:r w:rsidRPr="00F346C5">
        <w:rPr>
          <w:rFonts w:ascii="Aptos" w:eastAsia="Times New Roman" w:hAnsi="Aptos" w:cs="Arial"/>
          <w:b/>
        </w:rPr>
        <w:t>A.</w:t>
      </w:r>
      <w:r w:rsidRPr="00F346C5">
        <w:rPr>
          <w:rFonts w:ascii="Aptos" w:eastAsia="Times New Roman" w:hAnsi="Aptos" w:cs="Arial"/>
          <w:b/>
        </w:rPr>
        <w:tab/>
        <w:t xml:space="preserve">Financial Reporting Entity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rPr>
        <w:t>The concept underlying the definition of the financial reporting entity is that elected officials are accountable to their constituents for their actions. As required by accounting principles generally accepted in the United States of America (GAAP), the financial reporting entity includes both the primary government and all of its component units. An organization other than a primary government serves as a nucleus for a reporting entity when it issues separate financial statements. *1 (College)</w:t>
      </w:r>
      <w:r w:rsidRPr="00F346C5">
        <w:rPr>
          <w:rFonts w:ascii="Aptos" w:eastAsia="Times New Roman" w:hAnsi="Aptos" w:cs="Arial"/>
          <w:color w:val="FF0000"/>
        </w:rPr>
        <w:t xml:space="preserve"> </w:t>
      </w:r>
      <w:r w:rsidRPr="00F346C5">
        <w:rPr>
          <w:rFonts w:ascii="Aptos" w:eastAsia="Times New Roman" w:hAnsi="Aptos" w:cs="Arial"/>
        </w:rPr>
        <w:t xml:space="preserve">is a component unit of the State of North Carolina and an integral part of the State’s </w:t>
      </w:r>
      <w:r w:rsidRPr="00F346C5">
        <w:rPr>
          <w:rFonts w:ascii="Aptos" w:eastAsia="Times New Roman" w:hAnsi="Aptos" w:cs="Arial"/>
          <w:i/>
        </w:rPr>
        <w:t>Annual Comprehensive Financial Report</w:t>
      </w:r>
      <w:r w:rsidRPr="00F346C5">
        <w:rPr>
          <w:rFonts w:ascii="Aptos" w:eastAsia="Times New Roman" w:hAnsi="Aptos" w:cs="Arial"/>
        </w:rPr>
        <w:t>.</w:t>
      </w:r>
    </w:p>
    <w:p w14:paraId="24395C3B" w14:textId="77777777" w:rsidR="009D62EA" w:rsidRPr="00F346C5" w:rsidRDefault="009D62EA" w:rsidP="009D62EA">
      <w:pPr>
        <w:spacing w:after="240" w:line="240" w:lineRule="auto"/>
        <w:ind w:left="360"/>
        <w:jc w:val="both"/>
        <w:rPr>
          <w:rFonts w:ascii="Aptos" w:eastAsia="Times New Roman" w:hAnsi="Aptos" w:cs="Arial"/>
          <w:b/>
          <w:bCs/>
          <w:i/>
          <w:iCs/>
          <w:color w:val="0000FF"/>
        </w:rPr>
      </w:pPr>
      <w:r w:rsidRPr="00F346C5">
        <w:rPr>
          <w:rFonts w:ascii="Aptos" w:eastAsia="Times New Roman" w:hAnsi="Aptos" w:cs="Arial"/>
        </w:rPr>
        <w:t>The accompanying financial statements present all funds of the College and its component units for which the College’s Board of Trustees is financially accountable. The College’s component units are either blended or discretely presented in the College’s financial statements. See below for further discussion of the College’s component units.</w:t>
      </w:r>
      <w:r w:rsidRPr="00F346C5">
        <w:rPr>
          <w:rFonts w:ascii="Aptos" w:hAnsi="Aptos" w:cs="Arial"/>
        </w:rPr>
        <w:t xml:space="preserve"> Other related foundations and similar nonprofit corporations for which the College is not financially accountable are not part of the accompanying financial statements.</w:t>
      </w:r>
    </w:p>
    <w:p w14:paraId="479407B1" w14:textId="5D3A251A" w:rsidR="009D62EA" w:rsidRPr="00F346C5" w:rsidRDefault="009D62EA" w:rsidP="009D62EA">
      <w:pPr>
        <w:spacing w:after="240" w:line="240" w:lineRule="auto"/>
        <w:ind w:left="360"/>
        <w:jc w:val="both"/>
        <w:rPr>
          <w:rFonts w:ascii="Aptos" w:eastAsia="Times New Roman" w:hAnsi="Aptos" w:cs="Arial"/>
          <w:b/>
          <w:bCs/>
          <w:i/>
          <w:iCs/>
        </w:rPr>
      </w:pPr>
      <w:r w:rsidRPr="00F346C5">
        <w:rPr>
          <w:rFonts w:ascii="Aptos" w:eastAsia="Times New Roman" w:hAnsi="Aptos" w:cs="Arial"/>
        </w:rPr>
        <w:t xml:space="preserve">Financial statements for the College and its blended and discretely presented component units are presented as of and for the fiscal year ended </w:t>
      </w:r>
      <w:r w:rsidR="00D001EB" w:rsidRPr="00F346C5">
        <w:rPr>
          <w:rFonts w:ascii="Aptos" w:eastAsia="Times New Roman" w:hAnsi="Aptos" w:cs="Arial"/>
        </w:rPr>
        <w:t>June 30, 202</w:t>
      </w:r>
      <w:r w:rsidR="007A7D6D">
        <w:rPr>
          <w:rFonts w:ascii="Aptos" w:eastAsia="Times New Roman" w:hAnsi="Aptos" w:cs="Arial"/>
        </w:rPr>
        <w:t>6</w:t>
      </w:r>
      <w:r w:rsidRPr="00F346C5">
        <w:rPr>
          <w:rFonts w:ascii="Aptos" w:eastAsia="Times New Roman" w:hAnsi="Aptos" w:cs="Arial"/>
        </w:rPr>
        <w:t xml:space="preserve">, except for ___________ Foundation whose financial statements are as of and for the fiscal year ended ________. </w:t>
      </w:r>
      <w:r w:rsidRPr="00F346C5">
        <w:rPr>
          <w:rFonts w:ascii="Aptos" w:eastAsia="Times New Roman" w:hAnsi="Aptos" w:cs="Arial"/>
          <w:b/>
          <w:bCs/>
          <w:i/>
          <w:color w:val="0000FF"/>
        </w:rPr>
        <w:t>[Omit this paragraph if no differing fiscal year ends.]</w:t>
      </w:r>
    </w:p>
    <w:p w14:paraId="14F7FD5A" w14:textId="77777777" w:rsidR="009D62EA" w:rsidRPr="00F346C5" w:rsidRDefault="009D62EA" w:rsidP="009D62EA">
      <w:pPr>
        <w:spacing w:after="240" w:line="240" w:lineRule="auto"/>
        <w:ind w:left="360"/>
        <w:jc w:val="both"/>
        <w:rPr>
          <w:rFonts w:ascii="Aptos" w:eastAsia="Times New Roman" w:hAnsi="Aptos" w:cs="Arial"/>
          <w:b/>
          <w:i/>
          <w:color w:val="0000FF"/>
        </w:rPr>
      </w:pPr>
      <w:r w:rsidRPr="00F346C5">
        <w:rPr>
          <w:rFonts w:ascii="Aptos" w:eastAsia="Times New Roman" w:hAnsi="Aptos" w:cs="Arial"/>
          <w:b/>
          <w:i/>
          <w:color w:val="0000FF"/>
        </w:rPr>
        <w:t xml:space="preserve">[Provide a brief description of the component units, and explain their relationship to the primary government, the rationale for including each component unit in the reporting </w:t>
      </w:r>
      <w:r w:rsidRPr="00F346C5">
        <w:rPr>
          <w:rFonts w:ascii="Aptos" w:eastAsia="Times New Roman" w:hAnsi="Aptos" w:cs="Arial"/>
          <w:b/>
          <w:i/>
          <w:color w:val="0000FF"/>
        </w:rPr>
        <w:lastRenderedPageBreak/>
        <w:t xml:space="preserve">entity, and how to obtain a copy of their financial statements </w:t>
      </w:r>
      <w:r w:rsidRPr="00F346C5">
        <w:rPr>
          <w:rFonts w:ascii="Aptos" w:eastAsia="Times New Roman" w:hAnsi="Aptos" w:cs="Arial"/>
          <w:i/>
          <w:color w:val="0000FF"/>
        </w:rPr>
        <w:t>-</w:t>
      </w:r>
      <w:r w:rsidRPr="00F346C5">
        <w:rPr>
          <w:rFonts w:ascii="Aptos" w:eastAsia="Times New Roman" w:hAnsi="Aptos" w:cs="Arial"/>
          <w:b/>
          <w:i/>
          <w:color w:val="0000FF"/>
        </w:rPr>
        <w:t xml:space="preserve"> examples follow </w:t>
      </w:r>
      <w:r w:rsidRPr="00F346C5">
        <w:rPr>
          <w:rFonts w:ascii="Aptos" w:eastAsia="Times New Roman" w:hAnsi="Aptos" w:cs="Arial"/>
          <w:i/>
          <w:color w:val="0000FF"/>
        </w:rPr>
        <w:t>-</w:t>
      </w:r>
      <w:r w:rsidRPr="00F346C5">
        <w:rPr>
          <w:rFonts w:ascii="Aptos" w:eastAsia="Times New Roman" w:hAnsi="Aptos" w:cs="Arial"/>
          <w:b/>
          <w:i/>
          <w:color w:val="0000FF"/>
        </w:rPr>
        <w:t xml:space="preserve"> MODIFY AS NECESSARY.]</w:t>
      </w:r>
    </w:p>
    <w:p w14:paraId="08BF1654" w14:textId="77777777"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b/>
          <w:bCs/>
        </w:rPr>
        <w:t>Blended Component Unit</w:t>
      </w:r>
      <w:r w:rsidRPr="00F346C5">
        <w:rPr>
          <w:rFonts w:ascii="Aptos" w:eastAsia="Times New Roman" w:hAnsi="Aptos" w:cs="Arial"/>
          <w:b/>
          <w:bCs/>
          <w:iCs/>
          <w:color w:val="0000FF"/>
        </w:rPr>
        <w:t>(s)</w:t>
      </w:r>
      <w:r w:rsidRPr="00F346C5">
        <w:rPr>
          <w:rFonts w:ascii="Aptos" w:eastAsia="Times New Roman" w:hAnsi="Aptos" w:cs="Arial"/>
          <w:b/>
          <w:bCs/>
        </w:rPr>
        <w:t xml:space="preserve"> </w:t>
      </w:r>
      <w:r w:rsidRPr="00F346C5">
        <w:rPr>
          <w:rFonts w:ascii="Aptos" w:eastAsia="Times New Roman" w:hAnsi="Aptos" w:cs="Arial"/>
          <w:bCs/>
        </w:rPr>
        <w:t>-</w:t>
      </w:r>
      <w:r w:rsidRPr="00F346C5">
        <w:rPr>
          <w:rFonts w:ascii="Aptos" w:eastAsia="Times New Roman" w:hAnsi="Aptos" w:cs="Arial"/>
          <w:b/>
          <w:bCs/>
        </w:rPr>
        <w:t xml:space="preserve"> </w:t>
      </w:r>
      <w:r w:rsidRPr="00F346C5">
        <w:rPr>
          <w:rFonts w:ascii="Aptos" w:eastAsia="Times New Roman" w:hAnsi="Aptos" w:cs="Arial"/>
        </w:rPr>
        <w:t>Although legally separate, _____________ Foundation is reported as if it was part of the College. The Foundation is governed by a __-member board consisting of __ ex officio directors and ___ elected directors. The Foundation’s purpose is to aid, support, and promote teaching, research, and service in the various educational, scientific, scholarly, professional, artistic, and creative endeavors of the College. Because the elected directors of the Foundation are appointed by the members of the *1 Board of Trustees and the Foundation’s sole purpose is to benefit *1, its financial statements have been blended with those of the College.</w:t>
      </w:r>
    </w:p>
    <w:p w14:paraId="25C84393" w14:textId="77777777"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rPr>
        <w:t xml:space="preserve">Separate financial statements for the Foundation may be obtained from the College Controller’s Office, </w:t>
      </w:r>
      <w:r w:rsidRPr="00F346C5">
        <w:rPr>
          <w:rFonts w:ascii="Aptos" w:eastAsia="Times New Roman" w:hAnsi="Aptos" w:cs="Arial"/>
          <w:b/>
          <w:bCs/>
          <w:color w:val="0000FF"/>
        </w:rPr>
        <w:t>[provide address]</w:t>
      </w:r>
      <w:r w:rsidRPr="00F346C5">
        <w:rPr>
          <w:rFonts w:ascii="Aptos" w:eastAsia="Times New Roman" w:hAnsi="Aptos" w:cs="Arial"/>
          <w:bCs/>
        </w:rPr>
        <w:t>,</w:t>
      </w:r>
      <w:r w:rsidRPr="00F346C5">
        <w:rPr>
          <w:rFonts w:ascii="Aptos" w:eastAsia="Times New Roman" w:hAnsi="Aptos" w:cs="Arial"/>
        </w:rPr>
        <w:t xml:space="preserve"> or by calling </w:t>
      </w:r>
      <w:r w:rsidRPr="00F346C5">
        <w:rPr>
          <w:rFonts w:ascii="Aptos" w:eastAsia="Times New Roman" w:hAnsi="Aptos" w:cs="Arial"/>
          <w:b/>
          <w:bCs/>
          <w:color w:val="0000FF"/>
        </w:rPr>
        <w:t>[provide telephone number]</w:t>
      </w:r>
      <w:r w:rsidRPr="00F346C5">
        <w:rPr>
          <w:rFonts w:ascii="Aptos" w:eastAsia="Times New Roman" w:hAnsi="Aptos" w:cs="Arial"/>
          <w:bCs/>
          <w:color w:val="000000"/>
        </w:rPr>
        <w:t>.</w:t>
      </w:r>
      <w:r w:rsidRPr="00F346C5">
        <w:rPr>
          <w:rFonts w:ascii="Aptos" w:eastAsia="Times New Roman" w:hAnsi="Aptos" w:cs="Arial"/>
        </w:rPr>
        <w:t xml:space="preserve"> </w:t>
      </w:r>
    </w:p>
    <w:p w14:paraId="0ED51494" w14:textId="77777777" w:rsidR="009D62EA" w:rsidRPr="00F346C5" w:rsidRDefault="009D62EA" w:rsidP="009D62EA">
      <w:pPr>
        <w:tabs>
          <w:tab w:val="left" w:pos="1710"/>
          <w:tab w:val="left" w:pos="1890"/>
        </w:tabs>
        <w:spacing w:after="240" w:line="240" w:lineRule="auto"/>
        <w:ind w:left="360"/>
        <w:jc w:val="both"/>
        <w:rPr>
          <w:rFonts w:ascii="Aptos" w:eastAsia="Times New Roman" w:hAnsi="Aptos" w:cs="Arial"/>
        </w:rPr>
      </w:pPr>
      <w:r w:rsidRPr="00F346C5">
        <w:rPr>
          <w:rFonts w:ascii="Aptos" w:eastAsia="Times New Roman" w:hAnsi="Aptos" w:cs="Arial"/>
        </w:rPr>
        <w:t xml:space="preserve">Condensed combining information regarding blended component units is provided in Note </w:t>
      </w:r>
      <w:r w:rsidRPr="00F346C5">
        <w:rPr>
          <w:rFonts w:ascii="Aptos" w:eastAsia="Times New Roman" w:hAnsi="Aptos" w:cs="Arial"/>
          <w:b/>
          <w:color w:val="0000FF"/>
        </w:rPr>
        <w:t>XX</w:t>
      </w:r>
      <w:r w:rsidRPr="00F346C5">
        <w:rPr>
          <w:rFonts w:ascii="Aptos" w:eastAsia="Times New Roman" w:hAnsi="Aptos" w:cs="Arial"/>
        </w:rPr>
        <w:t>.</w:t>
      </w:r>
    </w:p>
    <w:p w14:paraId="1F8331C2" w14:textId="77777777" w:rsidR="009D62EA" w:rsidRPr="00F346C5" w:rsidRDefault="009D62EA" w:rsidP="009D62EA">
      <w:pPr>
        <w:spacing w:after="240" w:line="240" w:lineRule="auto"/>
        <w:ind w:left="360"/>
        <w:jc w:val="both"/>
        <w:rPr>
          <w:rFonts w:ascii="Aptos" w:eastAsia="Times New Roman" w:hAnsi="Aptos" w:cs="Arial"/>
          <w:b/>
          <w:i/>
          <w:color w:val="0000FF"/>
        </w:rPr>
      </w:pPr>
      <w:bookmarkStart w:id="0" w:name="SigTransB"/>
      <w:r w:rsidRPr="00F346C5">
        <w:rPr>
          <w:rFonts w:ascii="Aptos" w:eastAsia="Times New Roman" w:hAnsi="Aptos" w:cs="Arial"/>
          <w:b/>
          <w:i/>
          <w:color w:val="0000FF"/>
        </w:rPr>
        <w:t>[Disclose all significant transactions between the College and its major blended component units in Note 20 of the Pro Forma.]</w:t>
      </w:r>
      <w:bookmarkEnd w:id="0"/>
    </w:p>
    <w:p w14:paraId="0718979A" w14:textId="77777777"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b/>
          <w:bCs/>
        </w:rPr>
        <w:t>Discretely Presented Component Unit</w:t>
      </w:r>
      <w:r w:rsidRPr="00F346C5">
        <w:rPr>
          <w:rFonts w:ascii="Aptos" w:eastAsia="Times New Roman" w:hAnsi="Aptos" w:cs="Arial"/>
          <w:b/>
          <w:bCs/>
          <w:iCs/>
          <w:color w:val="0000FF"/>
        </w:rPr>
        <w:t>(s)</w:t>
      </w:r>
      <w:r w:rsidRPr="00F346C5">
        <w:rPr>
          <w:rFonts w:ascii="Aptos" w:eastAsia="Times New Roman" w:hAnsi="Aptos" w:cs="Arial"/>
          <w:b/>
          <w:bCs/>
        </w:rPr>
        <w:t xml:space="preserve"> </w:t>
      </w:r>
      <w:r w:rsidRPr="00F346C5">
        <w:rPr>
          <w:rFonts w:ascii="Aptos" w:eastAsia="Times New Roman" w:hAnsi="Aptos" w:cs="Arial"/>
          <w:bCs/>
        </w:rPr>
        <w:t>-</w:t>
      </w:r>
      <w:r w:rsidRPr="00F346C5">
        <w:rPr>
          <w:rFonts w:ascii="Aptos" w:eastAsia="Times New Roman" w:hAnsi="Aptos" w:cs="Arial"/>
          <w:b/>
          <w:bCs/>
        </w:rPr>
        <w:t xml:space="preserve"> </w:t>
      </w:r>
      <w:r w:rsidRPr="00F346C5">
        <w:rPr>
          <w:rFonts w:ascii="Aptos" w:eastAsia="Times New Roman" w:hAnsi="Aptos" w:cs="Arial"/>
        </w:rPr>
        <w:t>__________ Foundation and ____________ Foundation are legally separate, nonprofit corporations and are reported as discretely presented component units based on the nature and significance of their relationship to the College.</w:t>
      </w:r>
    </w:p>
    <w:p w14:paraId="557CA44B" w14:textId="77777777" w:rsidR="009D62EA" w:rsidRPr="00F346C5" w:rsidRDefault="009D62EA" w:rsidP="009D62EA">
      <w:pPr>
        <w:spacing w:after="240" w:line="240" w:lineRule="auto"/>
        <w:ind w:left="360"/>
        <w:jc w:val="both"/>
        <w:rPr>
          <w:rFonts w:ascii="Aptos" w:eastAsia="Times New Roman" w:hAnsi="Aptos" w:cs="Arial"/>
          <w:b/>
          <w:i/>
          <w:color w:val="0000FF"/>
        </w:rPr>
      </w:pPr>
      <w:r w:rsidRPr="00F346C5">
        <w:rPr>
          <w:rFonts w:ascii="Aptos" w:eastAsia="Times New Roman" w:hAnsi="Aptos" w:cs="Arial"/>
          <w:b/>
          <w:i/>
          <w:color w:val="0000FF"/>
        </w:rPr>
        <w:t>[Explain the basis for including each component unit in the reporting entity and how to obtain a copy of their financial statements. Examples follow. MODIFY AS NECESSARY. If only one component unit, modify the sentence above and the first sentence of each paragraph below to eliminate redundancy.]</w:t>
      </w:r>
    </w:p>
    <w:p w14:paraId="29B7B7AD" w14:textId="77777777"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rPr>
        <w:t>The ___________ Foundation acts primarily as a fundraising organization to supplement the resources that are available to the College in support of its programs. The Foundation board consists of _______. Although the College does not control the timing or amount of receipts from the Foundation, the majority of resources, or income thereon, that the Foundation holds and invests are restricted to the activities of the College by the donors. Because these restricted resources held by the Foundation can only be used by, or for the benefit of the College, the Foundation is considered a component unit of the College and is reported in separate financial statements because of the difference in its reporting model, as described below.</w:t>
      </w:r>
    </w:p>
    <w:p w14:paraId="080E26F1" w14:textId="77777777"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rPr>
        <w:t>The _____________ Foundation is a private nonprofit organization that reports its financial results under the Financial Accounting Standards Board (FASB) Codification. As such, certain revenue recognition criteria and presentation features are different from the Governmental Accounting Standards Board (GASB) revenue recognition criteria and presentation features. No modifications have been made to the Foundation’s financial information in the College’s financial reporting entity for these differences.</w:t>
      </w:r>
    </w:p>
    <w:p w14:paraId="21F89CC8" w14:textId="77777777" w:rsidR="009D62EA" w:rsidRPr="00F346C5" w:rsidRDefault="009D62EA" w:rsidP="009D62EA">
      <w:pPr>
        <w:spacing w:after="240" w:line="240" w:lineRule="auto"/>
        <w:ind w:left="360"/>
        <w:jc w:val="both"/>
        <w:rPr>
          <w:rFonts w:ascii="Aptos" w:eastAsia="Times New Roman" w:hAnsi="Aptos" w:cs="Arial"/>
          <w:b/>
          <w:i/>
          <w:color w:val="0000FF"/>
        </w:rPr>
      </w:pPr>
      <w:bookmarkStart w:id="1" w:name="SigTransD"/>
      <w:r w:rsidRPr="00F346C5">
        <w:rPr>
          <w:rFonts w:ascii="Aptos" w:eastAsia="Times New Roman" w:hAnsi="Aptos" w:cs="Arial"/>
          <w:b/>
          <w:i/>
          <w:color w:val="0000FF"/>
        </w:rPr>
        <w:lastRenderedPageBreak/>
        <w:t>[Disclose all significant transactions between the College and its major discretely presented component units.]</w:t>
      </w:r>
      <w:bookmarkEnd w:id="1"/>
    </w:p>
    <w:p w14:paraId="59A36518" w14:textId="1AAE3F0C"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rPr>
        <w:t xml:space="preserve">During the year ended </w:t>
      </w:r>
      <w:r w:rsidR="00D001EB" w:rsidRPr="00F346C5">
        <w:rPr>
          <w:rFonts w:ascii="Aptos" w:eastAsia="Times New Roman" w:hAnsi="Aptos" w:cs="Arial"/>
        </w:rPr>
        <w:t>June 30, 202</w:t>
      </w:r>
      <w:r w:rsidR="00B97E61">
        <w:rPr>
          <w:rFonts w:ascii="Aptos" w:eastAsia="Times New Roman" w:hAnsi="Aptos" w:cs="Arial"/>
        </w:rPr>
        <w:t>6</w:t>
      </w:r>
      <w:r w:rsidRPr="00F346C5">
        <w:rPr>
          <w:rFonts w:ascii="Aptos" w:eastAsia="Times New Roman" w:hAnsi="Aptos" w:cs="Arial"/>
        </w:rPr>
        <w:t>, the Foundation distributed $__________ to the College for both restricted and unrestricted purposes. Complete financial statements for the Foundation can be obtained from ________________________.</w:t>
      </w:r>
    </w:p>
    <w:p w14:paraId="6C6A2BA6" w14:textId="40019DF8" w:rsidR="009D62EA" w:rsidRDefault="009D62EA" w:rsidP="009D62EA">
      <w:pPr>
        <w:spacing w:after="240" w:line="240" w:lineRule="auto"/>
        <w:ind w:left="360" w:hanging="360"/>
        <w:jc w:val="both"/>
        <w:rPr>
          <w:rFonts w:ascii="Aptos" w:eastAsia="Times New Roman" w:hAnsi="Aptos" w:cs="Arial"/>
        </w:rPr>
      </w:pPr>
      <w:r w:rsidRPr="00F346C5">
        <w:rPr>
          <w:rFonts w:ascii="Aptos" w:eastAsia="Times New Roman" w:hAnsi="Aptos" w:cs="Arial"/>
          <w:b/>
          <w:bCs/>
        </w:rPr>
        <w:t>B.</w:t>
      </w:r>
      <w:r w:rsidRPr="00F346C5">
        <w:rPr>
          <w:rFonts w:ascii="Aptos" w:eastAsia="Times New Roman" w:hAnsi="Aptos" w:cs="Arial"/>
          <w:b/>
          <w:bCs/>
        </w:rPr>
        <w:tab/>
      </w:r>
      <w:r w:rsidRPr="00F346C5">
        <w:rPr>
          <w:rFonts w:ascii="Aptos" w:eastAsia="Times New Roman" w:hAnsi="Aptos" w:cs="Arial"/>
          <w:b/>
        </w:rPr>
        <w:t>Basis of Presentation</w:t>
      </w:r>
      <w:r w:rsidRPr="00F346C5">
        <w:rPr>
          <w:rFonts w:ascii="Aptos" w:eastAsia="Times New Roman" w:hAnsi="Aptos" w:cs="Arial"/>
          <w:b/>
          <w:bCs/>
        </w:rPr>
        <w:t xml:space="preserve"> </w:t>
      </w:r>
      <w:r w:rsidRPr="00F346C5">
        <w:rPr>
          <w:rFonts w:ascii="Aptos" w:eastAsia="Times New Roman" w:hAnsi="Aptos" w:cs="Arial"/>
          <w:bCs/>
        </w:rPr>
        <w:t>-</w:t>
      </w:r>
      <w:r w:rsidRPr="00F346C5">
        <w:rPr>
          <w:rFonts w:ascii="Aptos" w:eastAsia="Times New Roman" w:hAnsi="Aptos" w:cs="Arial"/>
          <w:b/>
          <w:bCs/>
        </w:rPr>
        <w:t xml:space="preserve"> </w:t>
      </w:r>
      <w:r w:rsidRPr="00F346C5">
        <w:rPr>
          <w:rFonts w:ascii="Aptos" w:eastAsia="Times New Roman" w:hAnsi="Aptos" w:cs="Arial"/>
        </w:rPr>
        <w:t xml:space="preserve">The accompanying financial statements are presented in accordance with accounting principles generally accepted in the United States of America as prescribed by the Governmental Accounting Standards Board (GASB). Pursuant to the provisions of GASB Statement No. 34, </w:t>
      </w:r>
      <w:r w:rsidRPr="00F346C5">
        <w:rPr>
          <w:rFonts w:ascii="Aptos" w:eastAsia="Times New Roman" w:hAnsi="Aptos" w:cs="Arial"/>
          <w:i/>
          <w:iCs/>
        </w:rPr>
        <w:t>Basic Financial Statements - and Management’s Discussion and Analysis - for State and Local Governments</w:t>
      </w:r>
      <w:r w:rsidRPr="00F346C5">
        <w:rPr>
          <w:rFonts w:ascii="Aptos" w:eastAsia="Times New Roman" w:hAnsi="Aptos" w:cs="Arial"/>
          <w:iCs/>
        </w:rPr>
        <w:t xml:space="preserve">, </w:t>
      </w:r>
      <w:r w:rsidRPr="00F346C5">
        <w:rPr>
          <w:rFonts w:ascii="Aptos" w:eastAsia="Times New Roman" w:hAnsi="Aptos" w:cs="Arial"/>
        </w:rPr>
        <w:t xml:space="preserve">as amended by GASB Statement No. 35, </w:t>
      </w:r>
      <w:r w:rsidRPr="00F346C5">
        <w:rPr>
          <w:rFonts w:ascii="Aptos" w:eastAsia="Times New Roman" w:hAnsi="Aptos" w:cs="Arial"/>
          <w:i/>
          <w:iCs/>
        </w:rPr>
        <w:t>Basic Financial Statements - and Management’s Discussion and Analysis - for Public Colleges and Universities</w:t>
      </w:r>
      <w:r w:rsidR="00DD4335" w:rsidRPr="00F346C5">
        <w:rPr>
          <w:rFonts w:ascii="Aptos" w:eastAsia="Times New Roman" w:hAnsi="Aptos" w:cs="Arial"/>
          <w:i/>
          <w:iCs/>
        </w:rPr>
        <w:t>,</w:t>
      </w:r>
      <w:r w:rsidRPr="00F346C5">
        <w:rPr>
          <w:rFonts w:ascii="Aptos" w:eastAsia="Times New Roman" w:hAnsi="Aptos" w:cs="Arial"/>
          <w:i/>
          <w:iCs/>
        </w:rPr>
        <w:t xml:space="preserve"> </w:t>
      </w:r>
      <w:r w:rsidRPr="00F346C5">
        <w:rPr>
          <w:rFonts w:ascii="Aptos" w:hAnsi="Aptos" w:cs="Arial"/>
          <w:iCs/>
        </w:rPr>
        <w:t xml:space="preserve">and GASB Statement No. 84, </w:t>
      </w:r>
      <w:r w:rsidRPr="00F346C5">
        <w:rPr>
          <w:rFonts w:ascii="Aptos" w:hAnsi="Aptos" w:cs="Arial"/>
          <w:i/>
          <w:iCs/>
        </w:rPr>
        <w:t>Fiduciary Activities,</w:t>
      </w:r>
      <w:r w:rsidRPr="00F346C5">
        <w:rPr>
          <w:rFonts w:ascii="Aptos" w:eastAsia="Times New Roman" w:hAnsi="Aptos" w:cs="Arial"/>
        </w:rPr>
        <w:t xml:space="preserve"> the full scope of the College’s activities is considered to be a single business-type activity and accordingly, is reported within a single column in the basic financial statements.</w:t>
      </w:r>
    </w:p>
    <w:p w14:paraId="600559DB" w14:textId="4BC26546" w:rsidR="00834F46" w:rsidRPr="00B531E4" w:rsidRDefault="00834F46" w:rsidP="00B531E4">
      <w:pPr>
        <w:spacing w:after="240" w:line="240" w:lineRule="auto"/>
        <w:ind w:left="360"/>
        <w:jc w:val="both"/>
        <w:rPr>
          <w:rFonts w:ascii="Aptos" w:hAnsi="Aptos" w:cs="Arial"/>
        </w:rPr>
      </w:pPr>
      <w:r w:rsidRPr="00450E53">
        <w:rPr>
          <w:rFonts w:ascii="Aptos" w:hAnsi="Aptos" w:cs="Arial"/>
          <w:highlight w:val="yellow"/>
        </w:rPr>
        <w:t xml:space="preserve">For the fiscal year 2026, the </w:t>
      </w:r>
      <w:r>
        <w:rPr>
          <w:rFonts w:ascii="Aptos" w:hAnsi="Aptos" w:cs="Arial"/>
          <w:highlight w:val="yellow"/>
        </w:rPr>
        <w:t>College</w:t>
      </w:r>
      <w:r w:rsidRPr="00450E53">
        <w:rPr>
          <w:rFonts w:ascii="Aptos" w:hAnsi="Aptos" w:cs="Arial"/>
          <w:highlight w:val="yellow"/>
        </w:rPr>
        <w:t xml:space="preserve"> implemented GASB Statement No. 103, </w:t>
      </w:r>
      <w:r w:rsidRPr="00450E53">
        <w:rPr>
          <w:rFonts w:ascii="Aptos" w:hAnsi="Aptos" w:cs="Arial"/>
          <w:i/>
          <w:iCs/>
          <w:highlight w:val="yellow"/>
        </w:rPr>
        <w:t>Financial Reporting Model Improvements</w:t>
      </w:r>
      <w:r w:rsidRPr="00450E53">
        <w:rPr>
          <w:rFonts w:ascii="Aptos" w:hAnsi="Aptos" w:cs="Arial"/>
          <w:highlight w:val="yellow"/>
        </w:rPr>
        <w:t xml:space="preserve">. This Statement amends the existing financial reporting model to enhance the relevance, consistency, and comparability of the financial statements. The </w:t>
      </w:r>
      <w:r>
        <w:rPr>
          <w:rFonts w:ascii="Aptos" w:hAnsi="Aptos" w:cs="Arial"/>
          <w:highlight w:val="yellow"/>
        </w:rPr>
        <w:t>College</w:t>
      </w:r>
      <w:r w:rsidRPr="00450E53">
        <w:rPr>
          <w:rFonts w:ascii="Aptos" w:hAnsi="Aptos" w:cs="Arial"/>
          <w:highlight w:val="yellow"/>
        </w:rPr>
        <w:t xml:space="preserve"> has modified its Statement of Revenues, Expenses, and Changes in Net Position to define and separately report </w:t>
      </w:r>
      <w:r>
        <w:rPr>
          <w:rFonts w:ascii="Aptos" w:hAnsi="Aptos" w:cs="Arial"/>
          <w:highlight w:val="yellow"/>
        </w:rPr>
        <w:t>n</w:t>
      </w:r>
      <w:r w:rsidRPr="00450E53">
        <w:rPr>
          <w:rFonts w:ascii="Aptos" w:hAnsi="Aptos" w:cs="Arial"/>
          <w:highlight w:val="yellow"/>
        </w:rPr>
        <w:t xml:space="preserve">oncapital </w:t>
      </w:r>
      <w:r>
        <w:rPr>
          <w:rFonts w:ascii="Aptos" w:hAnsi="Aptos" w:cs="Arial"/>
          <w:highlight w:val="yellow"/>
        </w:rPr>
        <w:t>s</w:t>
      </w:r>
      <w:r w:rsidRPr="00450E53">
        <w:rPr>
          <w:rFonts w:ascii="Aptos" w:hAnsi="Aptos" w:cs="Arial"/>
          <w:highlight w:val="yellow"/>
        </w:rPr>
        <w:t>ubsidies immediately following operating income/loss</w:t>
      </w:r>
      <w:r w:rsidRPr="00B137AD">
        <w:rPr>
          <w:rFonts w:ascii="Aptos" w:hAnsi="Aptos" w:cs="Arial"/>
          <w:highlight w:val="yellow"/>
        </w:rPr>
        <w:t>.</w:t>
      </w:r>
    </w:p>
    <w:p w14:paraId="401968A7" w14:textId="77777777" w:rsidR="009D62EA" w:rsidRPr="00F346C5" w:rsidRDefault="009D62EA" w:rsidP="009D62EA">
      <w:pPr>
        <w:spacing w:after="240" w:line="240" w:lineRule="auto"/>
        <w:ind w:left="360" w:hanging="360"/>
        <w:jc w:val="both"/>
        <w:rPr>
          <w:rFonts w:ascii="Aptos" w:eastAsia="Times New Roman" w:hAnsi="Aptos" w:cs="Arial"/>
        </w:rPr>
      </w:pPr>
      <w:r w:rsidRPr="00F346C5">
        <w:rPr>
          <w:rFonts w:ascii="Aptos" w:eastAsia="Times New Roman" w:hAnsi="Aptos" w:cs="Arial"/>
          <w:b/>
        </w:rPr>
        <w:t>C.</w:t>
      </w:r>
      <w:r w:rsidRPr="00F346C5">
        <w:rPr>
          <w:rFonts w:ascii="Aptos" w:eastAsia="Times New Roman" w:hAnsi="Aptos" w:cs="Arial"/>
          <w:b/>
        </w:rPr>
        <w:tab/>
        <w:t xml:space="preserve">Basis of Accounting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rPr>
        <w:t>The financial statements of the College have been prepared using the economic resource measurement focus and the accrual basis of accounting. Under the accrual basis, revenues are recognized when earned, and expenses are recorded when an obligation has been incurred, regardless of the timing of the cash flows.</w:t>
      </w:r>
    </w:p>
    <w:p w14:paraId="29D0B77F" w14:textId="1D5CD4FD" w:rsidR="009D62EA" w:rsidRPr="00F346C5" w:rsidRDefault="009D62EA" w:rsidP="009D62EA">
      <w:pPr>
        <w:spacing w:after="240" w:line="240" w:lineRule="auto"/>
        <w:ind w:left="360"/>
        <w:jc w:val="both"/>
        <w:rPr>
          <w:rFonts w:ascii="Aptos" w:eastAsia="Times New Roman" w:hAnsi="Aptos" w:cs="Arial"/>
          <w:b/>
        </w:rPr>
      </w:pPr>
      <w:r w:rsidRPr="00F346C5">
        <w:rPr>
          <w:rFonts w:ascii="Aptos" w:eastAsia="Times New Roman" w:hAnsi="Aptos" w:cs="Arial"/>
        </w:rPr>
        <w:t xml:space="preserve">Nonexchange transactions, </w:t>
      </w:r>
      <w:r w:rsidR="003C2B9F" w:rsidRPr="00B531E4">
        <w:rPr>
          <w:rFonts w:ascii="Aptos" w:eastAsia="Times New Roman" w:hAnsi="Aptos" w:cs="Arial"/>
          <w:highlight w:val="yellow"/>
        </w:rPr>
        <w:t>are those</w:t>
      </w:r>
      <w:r w:rsidR="003C2B9F">
        <w:rPr>
          <w:rFonts w:ascii="Aptos" w:eastAsia="Times New Roman" w:hAnsi="Aptos" w:cs="Arial"/>
        </w:rPr>
        <w:t xml:space="preserve"> </w:t>
      </w:r>
      <w:r w:rsidRPr="00F346C5">
        <w:rPr>
          <w:rFonts w:ascii="Aptos" w:eastAsia="Times New Roman" w:hAnsi="Aptos" w:cs="Arial"/>
        </w:rPr>
        <w:t>in which the College receives (or gives) value without directly giving (or receiving) equal value in exchange</w:t>
      </w:r>
      <w:r w:rsidR="005A0273">
        <w:rPr>
          <w:rFonts w:ascii="Aptos" w:eastAsia="Times New Roman" w:hAnsi="Aptos" w:cs="Arial"/>
        </w:rPr>
        <w:t>.</w:t>
      </w:r>
      <w:r w:rsidRPr="00F346C5">
        <w:rPr>
          <w:rFonts w:ascii="Aptos" w:eastAsia="Times New Roman" w:hAnsi="Aptos" w:cs="Arial"/>
        </w:rPr>
        <w:t xml:space="preserve"> </w:t>
      </w:r>
      <w:r w:rsidR="005A0273" w:rsidRPr="00450E53">
        <w:rPr>
          <w:rFonts w:ascii="Aptos" w:eastAsia="Times New Roman" w:hAnsi="Aptos" w:cs="Arial"/>
          <w:highlight w:val="yellow"/>
        </w:rPr>
        <w:t xml:space="preserve">In accordance with GASB Statement No. 103, </w:t>
      </w:r>
      <w:r w:rsidR="005A0273" w:rsidRPr="00450E53">
        <w:rPr>
          <w:rFonts w:ascii="Aptos" w:eastAsia="Times New Roman" w:hAnsi="Aptos" w:cs="Arial"/>
          <w:i/>
          <w:iCs/>
          <w:highlight w:val="yellow"/>
        </w:rPr>
        <w:t>Financial Reporting Model Improvements,</w:t>
      </w:r>
      <w:r w:rsidR="005A0273" w:rsidRPr="00450E53">
        <w:rPr>
          <w:rFonts w:ascii="Aptos" w:eastAsia="Times New Roman" w:hAnsi="Aptos" w:cs="Arial"/>
          <w:highlight w:val="yellow"/>
        </w:rPr>
        <w:t xml:space="preserve"> nonexchange transactions that directly or indirectly keep the </w:t>
      </w:r>
      <w:r w:rsidR="005A0273">
        <w:rPr>
          <w:rFonts w:ascii="Aptos" w:eastAsia="Times New Roman" w:hAnsi="Aptos" w:cs="Arial"/>
          <w:highlight w:val="yellow"/>
        </w:rPr>
        <w:t>College</w:t>
      </w:r>
      <w:r w:rsidR="005A0273" w:rsidRPr="00450E53">
        <w:rPr>
          <w:rFonts w:ascii="Aptos" w:eastAsia="Times New Roman" w:hAnsi="Aptos" w:cs="Arial"/>
          <w:highlight w:val="yellow"/>
        </w:rPr>
        <w:t>’s student fees and charges lower than they would be otherwise are classified as noncapital subsidies. Noncapital subsidies, such as state appropriations and donations for scholarships, are reported separately from other nonoperating activities immediately following operating income (loss) to establish a combined "Operating Income (Loss) and Noncapital Subsidies" subtotal.</w:t>
      </w:r>
      <w:r w:rsidRPr="00F346C5">
        <w:rPr>
          <w:rFonts w:ascii="Aptos" w:eastAsia="Times New Roman" w:hAnsi="Aptos" w:cs="Arial"/>
        </w:rPr>
        <w:t xml:space="preserve"> Revenues are recognized, net of estimated uncollectible amounts, as soon as all eligibility requirements imposed by the provider have been met, if probable of collection.</w:t>
      </w:r>
    </w:p>
    <w:p w14:paraId="471C3B08" w14:textId="77777777" w:rsidR="009D62EA" w:rsidRPr="00F346C5" w:rsidRDefault="009D62EA" w:rsidP="009D62EA">
      <w:pPr>
        <w:spacing w:after="240" w:line="240" w:lineRule="auto"/>
        <w:ind w:left="360" w:hanging="360"/>
        <w:jc w:val="both"/>
        <w:rPr>
          <w:rFonts w:ascii="Aptos" w:eastAsia="Times New Roman" w:hAnsi="Aptos" w:cs="Arial"/>
          <w:b/>
          <w:i/>
          <w:color w:val="0000FF"/>
        </w:rPr>
      </w:pPr>
      <w:r w:rsidRPr="00F346C5">
        <w:rPr>
          <w:rFonts w:ascii="Aptos" w:eastAsia="Times New Roman" w:hAnsi="Aptos" w:cs="Arial"/>
          <w:b/>
        </w:rPr>
        <w:t>D.</w:t>
      </w:r>
      <w:r w:rsidRPr="00F346C5">
        <w:rPr>
          <w:rFonts w:ascii="Aptos" w:eastAsia="Times New Roman" w:hAnsi="Aptos" w:cs="Arial"/>
          <w:b/>
        </w:rPr>
        <w:tab/>
        <w:t xml:space="preserve">Cash and Cash Equivalents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bCs/>
          <w:iCs/>
        </w:rPr>
        <w:t xml:space="preserve">This classification includes </w:t>
      </w:r>
      <w:r w:rsidRPr="00F346C5">
        <w:rPr>
          <w:rFonts w:ascii="Aptos" w:eastAsia="Times New Roman" w:hAnsi="Aptos" w:cs="Arial"/>
        </w:rPr>
        <w:t xml:space="preserve">undeposited receipts, petty cash, cash on deposit with private bank accounts, and deposits held by the State Treasurer in the Short-Term Investment Fund (STIF). The STIF maintained by the State Treasurer has the general characteristics of a demand deposit account in that participants may deposit and withdraw cash at any time without prior notice or penalty. </w:t>
      </w:r>
      <w:r w:rsidRPr="00F346C5">
        <w:rPr>
          <w:rFonts w:ascii="Aptos" w:eastAsia="Times New Roman" w:hAnsi="Aptos" w:cs="Arial"/>
          <w:b/>
          <w:i/>
          <w:color w:val="0000FF"/>
        </w:rPr>
        <w:t>[Modify as deemed necessary.]</w:t>
      </w:r>
    </w:p>
    <w:p w14:paraId="21118F14" w14:textId="77777777" w:rsidR="009D62EA" w:rsidRPr="00F346C5" w:rsidRDefault="009D62EA" w:rsidP="00D25827">
      <w:pPr>
        <w:spacing w:after="240" w:line="240" w:lineRule="auto"/>
        <w:ind w:left="360"/>
        <w:jc w:val="center"/>
        <w:rPr>
          <w:rFonts w:ascii="Aptos" w:eastAsia="Times New Roman" w:hAnsi="Aptos" w:cs="Arial"/>
          <w:b/>
          <w:i/>
          <w:color w:val="0000FF"/>
        </w:rPr>
      </w:pPr>
      <w:r w:rsidRPr="00F346C5">
        <w:rPr>
          <w:rFonts w:ascii="Aptos" w:eastAsia="Times New Roman" w:hAnsi="Aptos" w:cs="Arial"/>
          <w:b/>
          <w:i/>
          <w:color w:val="0000FF"/>
        </w:rPr>
        <w:t>OR</w:t>
      </w:r>
    </w:p>
    <w:p w14:paraId="39AABEB1" w14:textId="77777777" w:rsidR="009D62EA" w:rsidRPr="00F346C5" w:rsidRDefault="009D62EA" w:rsidP="00D25827">
      <w:pPr>
        <w:spacing w:after="240" w:line="240" w:lineRule="auto"/>
        <w:jc w:val="center"/>
        <w:rPr>
          <w:rFonts w:ascii="Aptos" w:eastAsia="Times New Roman" w:hAnsi="Aptos" w:cs="Arial"/>
          <w:b/>
          <w:i/>
          <w:color w:val="0000FF"/>
        </w:rPr>
      </w:pPr>
      <w:r w:rsidRPr="00F346C5">
        <w:rPr>
          <w:rFonts w:ascii="Aptos" w:eastAsia="Times New Roman" w:hAnsi="Aptos" w:cs="Arial"/>
          <w:b/>
          <w:i/>
          <w:color w:val="0000FF"/>
        </w:rPr>
        <w:tab/>
        <w:t>[If all of the College’s investments are held in the STIF:]</w:t>
      </w:r>
    </w:p>
    <w:p w14:paraId="666270A1" w14:textId="77777777" w:rsidR="009D62EA" w:rsidRPr="00F346C5" w:rsidRDefault="009D62EA" w:rsidP="009D62EA">
      <w:pPr>
        <w:tabs>
          <w:tab w:val="left" w:pos="360"/>
        </w:tabs>
        <w:spacing w:after="240" w:line="240" w:lineRule="auto"/>
        <w:ind w:left="360" w:hanging="360"/>
        <w:jc w:val="both"/>
        <w:rPr>
          <w:rFonts w:ascii="Aptos" w:eastAsia="Times New Roman" w:hAnsi="Aptos" w:cs="Arial"/>
          <w:b/>
          <w:i/>
          <w:color w:val="0000FF"/>
        </w:rPr>
      </w:pPr>
      <w:r w:rsidRPr="00F346C5">
        <w:rPr>
          <w:rFonts w:ascii="Aptos" w:eastAsia="Times New Roman" w:hAnsi="Aptos" w:cs="Arial"/>
          <w:b/>
        </w:rPr>
        <w:lastRenderedPageBreak/>
        <w:t>D.</w:t>
      </w:r>
      <w:r w:rsidRPr="00F346C5">
        <w:rPr>
          <w:rFonts w:ascii="Aptos" w:eastAsia="Times New Roman" w:hAnsi="Aptos" w:cs="Arial"/>
          <w:b/>
        </w:rPr>
        <w:tab/>
        <w:t xml:space="preserve">Cash and Cash Equivalents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bCs/>
          <w:iCs/>
        </w:rPr>
        <w:t xml:space="preserve">This classification includes </w:t>
      </w:r>
      <w:r w:rsidRPr="00F346C5">
        <w:rPr>
          <w:rFonts w:ascii="Aptos" w:eastAsia="Times New Roman" w:hAnsi="Aptos" w:cs="Arial"/>
        </w:rPr>
        <w:t xml:space="preserve">undeposited receipts, petty cash, cash on deposit with private bank accounts, savings accounts, money market accounts, overnight repurchase agreements, and deposits held by the State Treasurer in the Short-Term Investment Fund (STIF). The STIF maintained by the State Treasurer has the general characteristics of a demand deposit account in that participants may deposit and withdraw cash at any time without prior notice or penalty. The College’s equity position in the STIF is recorded at fair value. Additional information regarding the fair value measurement of deposits held by the State Treasurer in the STIF is disclosed in Note 3. </w:t>
      </w:r>
      <w:r w:rsidRPr="00F346C5">
        <w:rPr>
          <w:rFonts w:ascii="Aptos" w:eastAsia="Times New Roman" w:hAnsi="Aptos" w:cs="Arial"/>
          <w:b/>
          <w:i/>
          <w:color w:val="0000FF"/>
        </w:rPr>
        <w:t>[Modify as deemed necessary.]</w:t>
      </w:r>
    </w:p>
    <w:p w14:paraId="6987B2A4" w14:textId="77777777" w:rsidR="009D62EA" w:rsidRPr="00F346C5" w:rsidRDefault="009D62EA" w:rsidP="009D62EA">
      <w:pPr>
        <w:tabs>
          <w:tab w:val="left" w:pos="360"/>
        </w:tabs>
        <w:spacing w:after="240" w:line="240" w:lineRule="auto"/>
        <w:ind w:left="360" w:hanging="360"/>
        <w:jc w:val="both"/>
        <w:rPr>
          <w:rFonts w:ascii="Aptos" w:eastAsia="Times New Roman" w:hAnsi="Aptos" w:cs="Arial"/>
        </w:rPr>
      </w:pPr>
      <w:r w:rsidRPr="00F346C5">
        <w:rPr>
          <w:rFonts w:ascii="Aptos" w:eastAsia="Times New Roman" w:hAnsi="Aptos" w:cs="Arial"/>
          <w:b/>
        </w:rPr>
        <w:t>E.</w:t>
      </w:r>
      <w:r w:rsidRPr="00F346C5">
        <w:rPr>
          <w:rFonts w:ascii="Aptos" w:eastAsia="Times New Roman" w:hAnsi="Aptos" w:cs="Arial"/>
          <w:b/>
        </w:rPr>
        <w:tab/>
        <w:t xml:space="preserve">Investments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rPr>
        <w:t>To the extent available, investments are recorded at fair value based on quoted market prices in active markets on a trade-date basis. Additional information regarding the fair value measurement of investments is disclosed in Note 3.</w:t>
      </w:r>
      <w:r w:rsidRPr="00F346C5">
        <w:rPr>
          <w:rFonts w:ascii="Aptos" w:eastAsia="Times New Roman" w:hAnsi="Aptos" w:cs="Arial"/>
          <w:b/>
        </w:rPr>
        <w:t xml:space="preserve"> </w:t>
      </w:r>
      <w:r w:rsidRPr="00F346C5">
        <w:rPr>
          <w:rFonts w:ascii="Aptos" w:eastAsia="Times New Roman" w:hAnsi="Aptos" w:cs="Arial"/>
        </w:rPr>
        <w:t xml:space="preserve">Because of the inherent uncertainty in the use of estimates, values that are based on estimates may differ from the values that would have been used had a ready market existed for the investments. The net change in the value of investments is recognized as a component of investment income. </w:t>
      </w:r>
      <w:r w:rsidRPr="00F346C5">
        <w:rPr>
          <w:rFonts w:ascii="Aptos" w:eastAsia="Times New Roman" w:hAnsi="Aptos" w:cs="Arial"/>
          <w:b/>
          <w:i/>
          <w:color w:val="0000FF"/>
        </w:rPr>
        <w:t>[Modify as deemed necessary.]</w:t>
      </w:r>
    </w:p>
    <w:p w14:paraId="15DD3BD6" w14:textId="197137F4" w:rsidR="009D62EA" w:rsidRPr="00F346C5" w:rsidRDefault="009D62EA" w:rsidP="009D62EA">
      <w:pPr>
        <w:spacing w:after="240" w:line="240" w:lineRule="auto"/>
        <w:ind w:left="360"/>
        <w:jc w:val="both"/>
        <w:rPr>
          <w:rFonts w:ascii="Aptos" w:hAnsi="Aptos" w:cs="Arial"/>
          <w:b/>
          <w:i/>
          <w:color w:val="0000FF"/>
        </w:rPr>
      </w:pPr>
      <w:r w:rsidRPr="00F346C5">
        <w:rPr>
          <w:rFonts w:ascii="Aptos" w:eastAsia="Times New Roman" w:hAnsi="Aptos" w:cs="Arial"/>
        </w:rPr>
        <w:t xml:space="preserve">[Certificates of deposit, investment agreements, bank investment contracts, and other asset holdings] are reported at cost, if purchased, or at fair value or appraised value at date of gift, if donated. </w:t>
      </w:r>
      <w:r w:rsidRPr="00F346C5">
        <w:rPr>
          <w:rFonts w:ascii="Aptos" w:eastAsia="Times New Roman" w:hAnsi="Aptos" w:cs="Arial"/>
          <w:b/>
          <w:i/>
          <w:color w:val="0000FF"/>
        </w:rPr>
        <w:t>[Modify as deemed necessary.]</w:t>
      </w:r>
      <w:r w:rsidRPr="00F346C5">
        <w:rPr>
          <w:rFonts w:ascii="Aptos" w:hAnsi="Aptos" w:cs="Arial"/>
          <w:b/>
          <w:i/>
          <w:color w:val="0000FF"/>
        </w:rPr>
        <w:t xml:space="preserve"> [This paragraph should include all of the College’s investments that are not measured at fair value (i.e. investments not disclosed in Note 3). See GASB Codification Section 150.121-123 for exceptions to fair value reporting.]</w:t>
      </w:r>
    </w:p>
    <w:p w14:paraId="634D36B0" w14:textId="77777777"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rPr>
        <w:t xml:space="preserve">Endowment investments include the principal amount of gifts and bequests that, according to donor restrictions, must be held in perpetuity or for a specified period of time, along with any accumulated investment earnings on such amounts. Further, endowment investments also include amounts internally designated by the College for investment in an endowment capacity (i.e. quasi-endowments), along with accumulated investment earnings on such amounts. Land and other real estate held as investments by endowments are reported at fair value, consistent with how investments are generally reported. </w:t>
      </w:r>
      <w:r w:rsidRPr="00F346C5">
        <w:rPr>
          <w:rFonts w:ascii="Aptos" w:eastAsia="Times New Roman" w:hAnsi="Aptos" w:cs="Arial"/>
          <w:b/>
          <w:i/>
          <w:color w:val="0000FF"/>
        </w:rPr>
        <w:t>[Modify as deemed necessary.]</w:t>
      </w:r>
    </w:p>
    <w:p w14:paraId="2437F5C0" w14:textId="77777777" w:rsidR="009D62EA" w:rsidRPr="00F346C5" w:rsidRDefault="009D62EA" w:rsidP="009D62EA">
      <w:pPr>
        <w:spacing w:after="240" w:line="240" w:lineRule="auto"/>
        <w:ind w:left="360"/>
        <w:jc w:val="both"/>
        <w:rPr>
          <w:rFonts w:ascii="Aptos" w:eastAsia="Times New Roman" w:hAnsi="Aptos" w:cs="Arial"/>
          <w:b/>
          <w:i/>
          <w:color w:val="0000FF"/>
        </w:rPr>
      </w:pPr>
      <w:r w:rsidRPr="00F346C5">
        <w:rPr>
          <w:rFonts w:ascii="Aptos" w:eastAsia="Times New Roman" w:hAnsi="Aptos" w:cs="Arial"/>
          <w:b/>
          <w:i/>
          <w:color w:val="0000FF"/>
        </w:rPr>
        <w:t>[Note to preparer: Remove entire paragraph E if all of the College’s investments are held in the STIF.]</w:t>
      </w:r>
    </w:p>
    <w:p w14:paraId="11DB8B3D" w14:textId="77777777" w:rsidR="009D62EA" w:rsidRPr="00F346C5" w:rsidRDefault="009D62EA" w:rsidP="009D62EA">
      <w:pPr>
        <w:spacing w:after="240" w:line="240" w:lineRule="auto"/>
        <w:ind w:left="360" w:hanging="360"/>
        <w:jc w:val="both"/>
        <w:rPr>
          <w:rFonts w:ascii="Aptos" w:eastAsia="Times New Roman" w:hAnsi="Aptos" w:cs="Arial"/>
        </w:rPr>
      </w:pPr>
      <w:r w:rsidRPr="00F346C5">
        <w:rPr>
          <w:rFonts w:ascii="Aptos" w:eastAsia="Times New Roman" w:hAnsi="Aptos" w:cs="Arial"/>
          <w:b/>
        </w:rPr>
        <w:t>F.</w:t>
      </w:r>
      <w:r w:rsidRPr="00F346C5">
        <w:rPr>
          <w:rFonts w:ascii="Aptos" w:eastAsia="Times New Roman" w:hAnsi="Aptos" w:cs="Arial"/>
          <w:b/>
        </w:rPr>
        <w:tab/>
        <w:t xml:space="preserve">Receivables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rPr>
        <w:t>Receivables consist of tuition and fees charged to students and charges for auxiliary enterprises’ sales and services. Receivables also include amounts due from the federal government, state and local governments, private sources in connection with reimbursement of allowable expenditures made pursuant to contracts and grants, and pledges that are verifiable, measurable, and expected to be collected and available for expenditures for which the resource provider’s conditions have been satisfied. Receivables are recorded net of estimated uncollectible amounts.</w:t>
      </w:r>
      <w:r w:rsidRPr="00F346C5">
        <w:rPr>
          <w:rFonts w:ascii="Aptos" w:eastAsia="Times New Roman" w:hAnsi="Aptos" w:cs="Arial"/>
          <w:b/>
          <w:i/>
        </w:rPr>
        <w:t xml:space="preserve"> </w:t>
      </w:r>
      <w:r w:rsidRPr="00F346C5">
        <w:rPr>
          <w:rFonts w:ascii="Aptos" w:eastAsia="Times New Roman" w:hAnsi="Aptos" w:cs="Arial"/>
          <w:b/>
          <w:i/>
          <w:color w:val="0000FF"/>
        </w:rPr>
        <w:t>[Modify as deemed necessary.]</w:t>
      </w:r>
    </w:p>
    <w:p w14:paraId="2E795763" w14:textId="77777777" w:rsidR="009D62EA" w:rsidRPr="00F346C5" w:rsidRDefault="009D62EA" w:rsidP="009D62EA">
      <w:pPr>
        <w:spacing w:after="240" w:line="240" w:lineRule="auto"/>
        <w:ind w:left="360" w:hanging="360"/>
        <w:jc w:val="both"/>
        <w:rPr>
          <w:rFonts w:ascii="Aptos" w:eastAsia="Times New Roman" w:hAnsi="Aptos" w:cs="Arial"/>
          <w:b/>
          <w:i/>
          <w:color w:val="0000FF"/>
        </w:rPr>
      </w:pPr>
      <w:r w:rsidRPr="00F346C5">
        <w:rPr>
          <w:rFonts w:ascii="Aptos" w:eastAsia="Times New Roman" w:hAnsi="Aptos" w:cs="Arial"/>
          <w:b/>
        </w:rPr>
        <w:t>G.</w:t>
      </w:r>
      <w:r w:rsidRPr="00F346C5">
        <w:rPr>
          <w:rFonts w:ascii="Aptos" w:eastAsia="Times New Roman" w:hAnsi="Aptos" w:cs="Arial"/>
          <w:b/>
        </w:rPr>
        <w:tab/>
        <w:t xml:space="preserve">Inventories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rPr>
        <w:t xml:space="preserve">Inventories, consisting of expendable supplies, are valued at cost using either the first-in, first-out, last invoice cost, or average cost method. Merchandise for resale is </w:t>
      </w:r>
      <w:r w:rsidRPr="00F346C5">
        <w:rPr>
          <w:rFonts w:ascii="Aptos" w:eastAsia="Times New Roman" w:hAnsi="Aptos" w:cs="Arial"/>
        </w:rPr>
        <w:lastRenderedPageBreak/>
        <w:t xml:space="preserve">valued at the lower of cost or market using the retail inventory method. </w:t>
      </w:r>
      <w:r w:rsidRPr="00F346C5">
        <w:rPr>
          <w:rFonts w:ascii="Aptos" w:eastAsia="Times New Roman" w:hAnsi="Aptos" w:cs="Arial"/>
          <w:b/>
          <w:i/>
          <w:color w:val="0000FF"/>
        </w:rPr>
        <w:t>[Modify as deemed necessary.]</w:t>
      </w:r>
    </w:p>
    <w:p w14:paraId="001A3B99" w14:textId="461D9740" w:rsidR="009D62EA" w:rsidRPr="00F346C5" w:rsidRDefault="009D62EA" w:rsidP="009D62EA">
      <w:pPr>
        <w:tabs>
          <w:tab w:val="left" w:pos="1710"/>
        </w:tabs>
        <w:spacing w:after="240" w:line="240" w:lineRule="auto"/>
        <w:ind w:left="360" w:hanging="360"/>
        <w:jc w:val="both"/>
        <w:rPr>
          <w:rFonts w:ascii="Aptos" w:eastAsia="Times New Roman" w:hAnsi="Aptos" w:cs="Arial"/>
        </w:rPr>
      </w:pPr>
      <w:r w:rsidRPr="00F346C5">
        <w:rPr>
          <w:rFonts w:ascii="Aptos" w:eastAsia="Times New Roman" w:hAnsi="Aptos" w:cs="Arial"/>
          <w:b/>
        </w:rPr>
        <w:t>H.</w:t>
      </w:r>
      <w:r w:rsidRPr="00F346C5">
        <w:rPr>
          <w:rFonts w:ascii="Aptos" w:eastAsia="Times New Roman" w:hAnsi="Aptos" w:cs="Arial"/>
          <w:b/>
        </w:rPr>
        <w:tab/>
        <w:t xml:space="preserve">Capital Assets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rPr>
        <w:t xml:space="preserve">Capital assets are stated at cost at date of acquisition or acquisition value at date of donation in the case of gifts. Donated capital assets acquired prior to </w:t>
      </w:r>
      <w:r w:rsidRPr="00F346C5">
        <w:rPr>
          <w:rFonts w:ascii="Aptos" w:eastAsia="Times New Roman" w:hAnsi="Aptos" w:cs="Arial"/>
        </w:rPr>
        <w:br/>
        <w:t xml:space="preserve">July 1, 2015 are stated at fair value as of the date of donation. The value of assets constructed includes all material direct and indirect construction costs. </w:t>
      </w:r>
    </w:p>
    <w:p w14:paraId="096D0CC4" w14:textId="23294570" w:rsidR="009D62EA" w:rsidRPr="00F346C5" w:rsidRDefault="009D62EA" w:rsidP="00BB3365">
      <w:pPr>
        <w:spacing w:after="240" w:line="240" w:lineRule="auto"/>
        <w:ind w:left="360"/>
        <w:jc w:val="both"/>
        <w:rPr>
          <w:rFonts w:ascii="Aptos" w:eastAsia="Times New Roman" w:hAnsi="Aptos" w:cs="Arial"/>
        </w:rPr>
      </w:pPr>
      <w:r w:rsidRPr="00F346C5">
        <w:rPr>
          <w:rFonts w:ascii="Aptos" w:eastAsia="Times New Roman" w:hAnsi="Aptos" w:cs="Arial"/>
        </w:rPr>
        <w:t xml:space="preserve">The College capitalizes assets that have a value or cost of $5,000 or greater at the date of acquisition and an estimated useful life of more than one year except for internally generated computer software which is capitalized when the value or cost is $1,000,000 or greater and other intangible assets which are capitalized when the value or cost is $100,000 or greater. </w:t>
      </w:r>
      <w:r w:rsidR="00BB3365" w:rsidRPr="00F346C5">
        <w:rPr>
          <w:rFonts w:ascii="Aptos" w:eastAsia="Times New Roman" w:hAnsi="Aptos" w:cs="Arial"/>
        </w:rPr>
        <w:t xml:space="preserve">In addition, grouped acquisitions of machinery and equipment that have an estimated useful life of more than one year but are individually below the $5,000 threshold are capitalized </w:t>
      </w:r>
      <w:r w:rsidR="00387977" w:rsidRPr="00F346C5">
        <w:rPr>
          <w:rFonts w:ascii="Aptos" w:eastAsia="Times New Roman" w:hAnsi="Aptos" w:cs="Arial"/>
          <w:b/>
          <w:bCs/>
          <w:color w:val="0000FF"/>
        </w:rPr>
        <w:t>[update to disclose the College’s policy for grouped assets]</w:t>
      </w:r>
      <w:r w:rsidR="00FD608E">
        <w:rPr>
          <w:rFonts w:ascii="Aptos" w:eastAsia="Times New Roman" w:hAnsi="Aptos" w:cs="Arial"/>
        </w:rPr>
        <w:t xml:space="preserve">. </w:t>
      </w:r>
      <w:r w:rsidRPr="00F346C5">
        <w:rPr>
          <w:rFonts w:ascii="Aptos" w:eastAsia="Times New Roman" w:hAnsi="Aptos" w:cs="Arial"/>
          <w:b/>
          <w:i/>
          <w:color w:val="0000FF"/>
        </w:rPr>
        <w:t>[Note to Preparer: Adjust to the College’s specific capitalization policy.]</w:t>
      </w:r>
    </w:p>
    <w:p w14:paraId="378F66D0" w14:textId="77777777"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rPr>
        <w:t xml:space="preserve">Depreciation and amortization </w:t>
      </w:r>
      <w:r w:rsidRPr="00F346C5">
        <w:rPr>
          <w:rFonts w:ascii="Aptos" w:eastAsia="Times New Roman" w:hAnsi="Aptos" w:cs="Arial"/>
          <w:b/>
          <w:i/>
          <w:color w:val="0000FF"/>
        </w:rPr>
        <w:t>[Note: Remove ‘and amortization’ if it is not applicable to your entity]</w:t>
      </w:r>
      <w:r w:rsidRPr="00F346C5">
        <w:rPr>
          <w:rFonts w:ascii="Aptos" w:eastAsia="Times New Roman" w:hAnsi="Aptos" w:cs="Arial"/>
        </w:rPr>
        <w:t xml:space="preserve"> </w:t>
      </w:r>
      <w:r w:rsidRPr="00F346C5">
        <w:rPr>
          <w:rFonts w:ascii="Aptos" w:eastAsia="Times New Roman" w:hAnsi="Aptos" w:cs="Arial"/>
          <w:b/>
          <w:bCs/>
          <w:color w:val="0000FF"/>
        </w:rPr>
        <w:t>is/are</w:t>
      </w:r>
      <w:r w:rsidRPr="00F346C5">
        <w:rPr>
          <w:rFonts w:ascii="Aptos" w:eastAsia="Times New Roman" w:hAnsi="Aptos" w:cs="Arial"/>
        </w:rPr>
        <w:t xml:space="preserve"> computed using the straight-line </w:t>
      </w:r>
      <w:r w:rsidRPr="00F346C5">
        <w:rPr>
          <w:rFonts w:ascii="Aptos" w:eastAsia="Times New Roman" w:hAnsi="Aptos" w:cs="Arial"/>
          <w:b/>
          <w:bCs/>
          <w:color w:val="0000FF"/>
        </w:rPr>
        <w:t>and/or</w:t>
      </w:r>
      <w:r w:rsidRPr="00F346C5">
        <w:rPr>
          <w:rFonts w:ascii="Aptos" w:eastAsia="Times New Roman" w:hAnsi="Aptos" w:cs="Arial"/>
        </w:rPr>
        <w:t xml:space="preserve"> units of output method over the estimated useful lives of the assets in the following manner:</w:t>
      </w:r>
    </w:p>
    <w:bookmarkStart w:id="2" w:name="_1560457739"/>
    <w:bookmarkEnd w:id="2"/>
    <w:bookmarkStart w:id="3" w:name="_MON_1559106739"/>
    <w:bookmarkEnd w:id="3"/>
    <w:p w14:paraId="136816D8" w14:textId="4448D796" w:rsidR="009D62EA" w:rsidRPr="00F346C5" w:rsidRDefault="00A72825" w:rsidP="009D62EA">
      <w:pPr>
        <w:spacing w:after="240" w:line="240" w:lineRule="auto"/>
        <w:ind w:left="360"/>
        <w:jc w:val="center"/>
        <w:rPr>
          <w:rFonts w:ascii="Aptos" w:eastAsia="Times New Roman" w:hAnsi="Aptos" w:cs="Arial"/>
          <w:b/>
          <w:bCs/>
          <w:i/>
          <w:iCs/>
          <w:color w:val="0000FF"/>
        </w:rPr>
      </w:pPr>
      <w:r w:rsidRPr="00F346C5">
        <w:rPr>
          <w:rFonts w:ascii="Aptos" w:eastAsia="Times New Roman" w:hAnsi="Aptos" w:cs="Arial"/>
          <w:b/>
          <w:bCs/>
          <w:i/>
          <w:iCs/>
          <w:color w:val="0000FF"/>
        </w:rPr>
        <w:object w:dxaOrig="5695" w:dyaOrig="1894" w14:anchorId="122F09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3.5pt;height:94.5pt" o:ole="">
            <v:imagedata r:id="rId18" o:title=""/>
          </v:shape>
          <o:OLEObject Type="Embed" ProgID="Excel.Sheet.12" ShapeID="_x0000_i1025" DrawAspect="Content" ObjectID="_1843297328" r:id="rId19"/>
        </w:object>
      </w:r>
    </w:p>
    <w:p w14:paraId="1B410622" w14:textId="4225D60B" w:rsidR="009D62EA" w:rsidRPr="00F346C5" w:rsidRDefault="009D62EA" w:rsidP="009D62EA">
      <w:pPr>
        <w:spacing w:after="240" w:line="240" w:lineRule="auto"/>
        <w:ind w:left="360"/>
        <w:jc w:val="center"/>
        <w:rPr>
          <w:rFonts w:ascii="Aptos" w:eastAsia="Times New Roman" w:hAnsi="Aptos" w:cs="Arial"/>
          <w:b/>
          <w:bCs/>
          <w:i/>
          <w:iCs/>
          <w:color w:val="0000FF"/>
        </w:rPr>
      </w:pPr>
      <w:r w:rsidRPr="00F346C5">
        <w:rPr>
          <w:rFonts w:ascii="Aptos" w:eastAsia="Times New Roman" w:hAnsi="Aptos" w:cs="Arial"/>
          <w:b/>
          <w:bCs/>
          <w:i/>
          <w:iCs/>
          <w:color w:val="0000FF"/>
        </w:rPr>
        <w:t>[Modify as necessary.]</w:t>
      </w:r>
    </w:p>
    <w:p w14:paraId="2894F988" w14:textId="77777777" w:rsidR="009D62EA" w:rsidRPr="00F346C5" w:rsidRDefault="009D62EA" w:rsidP="009D62EA">
      <w:pPr>
        <w:spacing w:after="240" w:line="240" w:lineRule="auto"/>
        <w:ind w:left="360"/>
        <w:jc w:val="both"/>
        <w:rPr>
          <w:rFonts w:ascii="Aptos" w:eastAsia="Times New Roman" w:hAnsi="Aptos" w:cs="Arial"/>
          <w:b/>
          <w:i/>
          <w:color w:val="0000FF"/>
        </w:rPr>
      </w:pPr>
      <w:r w:rsidRPr="00F346C5">
        <w:rPr>
          <w:rFonts w:ascii="Aptos" w:eastAsia="Times New Roman" w:hAnsi="Aptos" w:cs="Arial"/>
        </w:rPr>
        <w:t xml:space="preserve">The College does not capitalize the </w:t>
      </w:r>
      <w:r w:rsidRPr="00F346C5">
        <w:rPr>
          <w:rFonts w:ascii="Aptos" w:eastAsia="Times New Roman" w:hAnsi="Aptos" w:cs="Arial"/>
          <w:b/>
          <w:bCs/>
          <w:iCs/>
          <w:color w:val="0000FF"/>
        </w:rPr>
        <w:t>[fill in the title]</w:t>
      </w:r>
      <w:r w:rsidRPr="00F346C5">
        <w:rPr>
          <w:rFonts w:ascii="Aptos" w:eastAsia="Times New Roman" w:hAnsi="Aptos" w:cs="Arial"/>
          <w:b/>
          <w:bCs/>
          <w:i/>
          <w:iCs/>
        </w:rPr>
        <w:t xml:space="preserve"> </w:t>
      </w:r>
      <w:r w:rsidRPr="00F346C5">
        <w:rPr>
          <w:rFonts w:ascii="Aptos" w:eastAsia="Times New Roman" w:hAnsi="Aptos" w:cs="Arial"/>
        </w:rPr>
        <w:t>collection</w:t>
      </w:r>
      <w:r w:rsidRPr="00F346C5">
        <w:rPr>
          <w:rFonts w:ascii="Aptos" w:eastAsia="Times New Roman" w:hAnsi="Aptos" w:cs="Arial"/>
          <w:bCs/>
          <w:i/>
          <w:iCs/>
        </w:rPr>
        <w:t>(s)</w:t>
      </w:r>
      <w:r w:rsidRPr="00F346C5">
        <w:rPr>
          <w:rFonts w:ascii="Aptos" w:eastAsia="Times New Roman" w:hAnsi="Aptos" w:cs="Arial"/>
        </w:rPr>
        <w:t>. This/</w:t>
      </w:r>
      <w:r w:rsidRPr="00F346C5">
        <w:rPr>
          <w:rFonts w:ascii="Aptos" w:eastAsia="Times New Roman" w:hAnsi="Aptos" w:cs="Arial"/>
          <w:i/>
        </w:rPr>
        <w:t>(These)</w:t>
      </w:r>
      <w:r w:rsidRPr="00F346C5">
        <w:rPr>
          <w:rFonts w:ascii="Aptos" w:eastAsia="Times New Roman" w:hAnsi="Aptos" w:cs="Arial"/>
        </w:rPr>
        <w:t xml:space="preserve"> collection</w:t>
      </w:r>
      <w:r w:rsidRPr="00F346C5">
        <w:rPr>
          <w:rFonts w:ascii="Aptos" w:eastAsia="Times New Roman" w:hAnsi="Aptos" w:cs="Arial"/>
          <w:i/>
        </w:rPr>
        <w:t>(s)</w:t>
      </w:r>
      <w:r w:rsidRPr="00F346C5">
        <w:rPr>
          <w:rFonts w:ascii="Aptos" w:eastAsia="Times New Roman" w:hAnsi="Aptos" w:cs="Arial"/>
        </w:rPr>
        <w:t xml:space="preserve"> adhere</w:t>
      </w:r>
      <w:r w:rsidRPr="00F346C5">
        <w:rPr>
          <w:rFonts w:ascii="Aptos" w:eastAsia="Times New Roman" w:hAnsi="Aptos" w:cs="Arial"/>
          <w:i/>
        </w:rPr>
        <w:t>(s)</w:t>
      </w:r>
      <w:r w:rsidRPr="00F346C5">
        <w:rPr>
          <w:rFonts w:ascii="Aptos" w:eastAsia="Times New Roman" w:hAnsi="Aptos" w:cs="Arial"/>
        </w:rPr>
        <w:t xml:space="preserve"> to the College’s policy to maintain for public exhibition, education, or research; protect, keep unencumbered, care for, and preserve; and require proceeds from their sale to be used to acquire other collection items. </w:t>
      </w:r>
      <w:r w:rsidRPr="00F346C5">
        <w:rPr>
          <w:rFonts w:ascii="Aptos" w:eastAsia="Times New Roman" w:hAnsi="Aptos" w:cs="Arial"/>
          <w:b/>
          <w:bCs/>
          <w:i/>
          <w:iCs/>
          <w:color w:val="0000FF"/>
        </w:rPr>
        <w:t>[Modify as necessary.]</w:t>
      </w:r>
      <w:r w:rsidRPr="00F346C5">
        <w:rPr>
          <w:rFonts w:ascii="Aptos" w:eastAsia="Times New Roman" w:hAnsi="Aptos" w:cs="Arial"/>
          <w:b/>
          <w:bCs/>
          <w:i/>
          <w:iCs/>
        </w:rPr>
        <w:t xml:space="preserve"> </w:t>
      </w:r>
      <w:r w:rsidRPr="00F346C5">
        <w:rPr>
          <w:rFonts w:ascii="Aptos" w:eastAsia="Times New Roman" w:hAnsi="Aptos" w:cs="Arial"/>
        </w:rPr>
        <w:t xml:space="preserve">Accounting principles generally accepted in the United States of America permit collections maintained in this manner to be charged to operations at time of purchase rather than be capitalized. </w:t>
      </w:r>
      <w:r w:rsidRPr="00F346C5">
        <w:rPr>
          <w:rFonts w:ascii="Aptos" w:eastAsia="Times New Roman" w:hAnsi="Aptos" w:cs="Arial"/>
          <w:b/>
          <w:i/>
          <w:color w:val="0000FF"/>
        </w:rPr>
        <w:t>[Remove if no collections are not capitalized]</w:t>
      </w:r>
    </w:p>
    <w:p w14:paraId="7A454E3D" w14:textId="478BFCC2" w:rsidR="003A051C" w:rsidRPr="00F346C5" w:rsidRDefault="003A051C" w:rsidP="009D62EA">
      <w:pPr>
        <w:spacing w:after="240" w:line="240" w:lineRule="auto"/>
        <w:ind w:left="360"/>
        <w:jc w:val="both"/>
        <w:rPr>
          <w:rFonts w:ascii="Aptos" w:eastAsia="Times New Roman" w:hAnsi="Aptos" w:cs="Arial"/>
          <w:b/>
          <w:i/>
          <w:color w:val="0000FF"/>
        </w:rPr>
      </w:pPr>
      <w:r w:rsidRPr="00F346C5">
        <w:rPr>
          <w:rFonts w:ascii="Aptos" w:eastAsia="Times New Roman" w:hAnsi="Aptos" w:cs="Arial"/>
        </w:rPr>
        <w:t xml:space="preserve">Right-to-use </w:t>
      </w:r>
      <w:r w:rsidRPr="00B531E4">
        <w:rPr>
          <w:rFonts w:ascii="Aptos" w:eastAsia="Times New Roman" w:hAnsi="Aptos" w:cs="Arial"/>
        </w:rPr>
        <w:t>lease</w:t>
      </w:r>
      <w:r w:rsidR="00207CDB" w:rsidRPr="00B531E4">
        <w:rPr>
          <w:rFonts w:ascii="Aptos" w:eastAsia="Times New Roman" w:hAnsi="Aptos" w:cs="Arial"/>
        </w:rPr>
        <w:t>d</w:t>
      </w:r>
      <w:r w:rsidRPr="00F346C5">
        <w:rPr>
          <w:rFonts w:ascii="Aptos" w:eastAsia="Times New Roman" w:hAnsi="Aptos" w:cs="Arial"/>
        </w:rPr>
        <w:t xml:space="preserve"> and subscription assets are recorded at the present value of payments expected to be made during the lease or subscription term, plus any upfront payments and ancillary charges paid to place the underlying right-to-use asset into service. Lease liabilities are capitalized as a right-to-use asset when the underlying leased asset has a cost of $_____ or greater and an estimated useful life of more than one year. Subscription liabilities are capitalized as a right-to-use asset when the underlying subscription asset has a cost of $_____ or greater and an estimated useful life of more than one year.</w:t>
      </w:r>
      <w:r w:rsidRPr="00F346C5">
        <w:rPr>
          <w:rFonts w:ascii="Aptos" w:eastAsia="Times New Roman" w:hAnsi="Aptos" w:cs="Arial"/>
          <w:b/>
          <w:i/>
          <w:color w:val="0000FF"/>
        </w:rPr>
        <w:t xml:space="preserve"> [Note to Preparer: Adjust to the College’s specific capitalization policy.]</w:t>
      </w:r>
    </w:p>
    <w:p w14:paraId="6920D9F9" w14:textId="0DDA301C" w:rsidR="003A051C" w:rsidRPr="00F346C5" w:rsidRDefault="003A051C" w:rsidP="003A051C">
      <w:pPr>
        <w:spacing w:after="240" w:line="240" w:lineRule="auto"/>
        <w:ind w:left="360"/>
        <w:jc w:val="both"/>
        <w:rPr>
          <w:rFonts w:ascii="Aptos" w:eastAsia="Times New Roman" w:hAnsi="Aptos" w:cs="Arial"/>
        </w:rPr>
      </w:pPr>
      <w:r w:rsidRPr="00F346C5">
        <w:rPr>
          <w:rFonts w:ascii="Aptos" w:eastAsia="Times New Roman" w:hAnsi="Aptos" w:cs="Arial"/>
        </w:rPr>
        <w:lastRenderedPageBreak/>
        <w:t>Amortization for right-to-</w:t>
      </w:r>
      <w:r w:rsidRPr="00995B66">
        <w:rPr>
          <w:rFonts w:ascii="Aptos" w:eastAsia="Times New Roman" w:hAnsi="Aptos" w:cs="Arial"/>
        </w:rPr>
        <w:t xml:space="preserve">use </w:t>
      </w:r>
      <w:r w:rsidRPr="00B531E4">
        <w:rPr>
          <w:rFonts w:ascii="Aptos" w:eastAsia="Times New Roman" w:hAnsi="Aptos" w:cs="Arial"/>
        </w:rPr>
        <w:t>lease</w:t>
      </w:r>
      <w:r w:rsidR="007E6CCC" w:rsidRPr="00B531E4">
        <w:rPr>
          <w:rFonts w:ascii="Aptos" w:eastAsia="Times New Roman" w:hAnsi="Aptos" w:cs="Arial"/>
        </w:rPr>
        <w:t>d</w:t>
      </w:r>
      <w:r w:rsidRPr="00F346C5">
        <w:rPr>
          <w:rFonts w:ascii="Aptos" w:eastAsia="Times New Roman" w:hAnsi="Aptos" w:cs="Arial"/>
        </w:rPr>
        <w:t xml:space="preserve"> and subscription assets is computed using the straight-line method over the shorter of the lease/subscription term or the underlying asset’s estimated useful life. If a lease agreement contains a purchase option the College is reasonably certain will be exercised, the right-to-use </w:t>
      </w:r>
      <w:r w:rsidRPr="00B531E4">
        <w:rPr>
          <w:rFonts w:ascii="Aptos" w:eastAsia="Times New Roman" w:hAnsi="Aptos" w:cs="Arial"/>
        </w:rPr>
        <w:t>lease</w:t>
      </w:r>
      <w:r w:rsidR="007E6CCC" w:rsidRPr="00B531E4">
        <w:rPr>
          <w:rFonts w:ascii="Aptos" w:eastAsia="Times New Roman" w:hAnsi="Aptos" w:cs="Arial"/>
        </w:rPr>
        <w:t>d</w:t>
      </w:r>
      <w:r w:rsidRPr="00F346C5">
        <w:rPr>
          <w:rFonts w:ascii="Aptos" w:eastAsia="Times New Roman" w:hAnsi="Aptos" w:cs="Arial"/>
        </w:rPr>
        <w:t xml:space="preserve"> asset is amortized over the asset’s estimated useful life. </w:t>
      </w:r>
      <w:r w:rsidRPr="00F346C5">
        <w:rPr>
          <w:rFonts w:ascii="Aptos" w:eastAsia="Times New Roman" w:hAnsi="Aptos" w:cs="Arial"/>
          <w:b/>
          <w:i/>
          <w:color w:val="0000FF"/>
        </w:rPr>
        <w:t>[Remove if no right-to-use lease or subscription assets reported, modify as necessary]</w:t>
      </w:r>
    </w:p>
    <w:p w14:paraId="76358C34" w14:textId="77777777" w:rsidR="009D62EA" w:rsidRPr="00F346C5" w:rsidRDefault="009D62EA" w:rsidP="009D62EA">
      <w:pPr>
        <w:spacing w:after="240" w:line="240" w:lineRule="auto"/>
        <w:ind w:left="360" w:hanging="360"/>
        <w:jc w:val="both"/>
        <w:rPr>
          <w:rFonts w:ascii="Aptos" w:eastAsia="Times New Roman" w:hAnsi="Aptos" w:cs="Arial"/>
          <w:b/>
          <w:bCs/>
          <w:i/>
          <w:iCs/>
          <w:color w:val="0000FF"/>
        </w:rPr>
      </w:pPr>
      <w:r w:rsidRPr="00F346C5">
        <w:rPr>
          <w:rFonts w:ascii="Aptos" w:eastAsia="Times New Roman" w:hAnsi="Aptos" w:cs="Arial"/>
          <w:b/>
          <w:bCs/>
        </w:rPr>
        <w:t>I.</w:t>
      </w:r>
      <w:r w:rsidRPr="00F346C5">
        <w:rPr>
          <w:rFonts w:ascii="Aptos" w:eastAsia="Times New Roman" w:hAnsi="Aptos" w:cs="Arial"/>
          <w:b/>
          <w:bCs/>
        </w:rPr>
        <w:tab/>
        <w:t xml:space="preserve">Restricted Assets </w:t>
      </w:r>
      <w:r w:rsidRPr="00F346C5">
        <w:rPr>
          <w:rFonts w:ascii="Aptos" w:eastAsia="Times New Roman" w:hAnsi="Aptos" w:cs="Arial"/>
          <w:bCs/>
        </w:rPr>
        <w:t>-</w:t>
      </w:r>
      <w:r w:rsidRPr="00F346C5">
        <w:rPr>
          <w:rFonts w:ascii="Aptos" w:eastAsia="Times New Roman" w:hAnsi="Aptos" w:cs="Arial"/>
          <w:b/>
          <w:bCs/>
        </w:rPr>
        <w:t xml:space="preserve"> </w:t>
      </w:r>
      <w:r w:rsidRPr="00F346C5">
        <w:rPr>
          <w:rFonts w:ascii="Aptos" w:eastAsia="Times New Roman" w:hAnsi="Aptos" w:cs="Arial"/>
        </w:rPr>
        <w:t xml:space="preserve">Certain resources are reported as restricted assets because restrictions on asset use change the nature or normal understanding of the availability of the asset. Resources that are not available for current operations and are reported as restricted include resources restricted for the acquisition or construction of capital assets, resources whose use is limited by external parties or statute, and endowment and other restricted investments. </w:t>
      </w:r>
      <w:r w:rsidRPr="00F346C5">
        <w:rPr>
          <w:rFonts w:ascii="Aptos" w:eastAsia="Times New Roman" w:hAnsi="Aptos" w:cs="Arial"/>
          <w:b/>
          <w:bCs/>
          <w:i/>
          <w:iCs/>
          <w:color w:val="0000FF"/>
        </w:rPr>
        <w:t>[Modify as necessary.]</w:t>
      </w:r>
    </w:p>
    <w:p w14:paraId="7F5090C3" w14:textId="77777777" w:rsidR="009D62EA" w:rsidRPr="00F346C5" w:rsidRDefault="009D62EA" w:rsidP="009D62EA">
      <w:pPr>
        <w:spacing w:after="240" w:line="240" w:lineRule="auto"/>
        <w:ind w:left="360" w:hanging="360"/>
        <w:jc w:val="both"/>
        <w:rPr>
          <w:rFonts w:ascii="Aptos" w:hAnsi="Aptos" w:cs="Arial"/>
          <w:b/>
          <w:bCs/>
          <w:i/>
          <w:iCs/>
          <w:color w:val="0000FF"/>
        </w:rPr>
      </w:pPr>
      <w:r w:rsidRPr="00F346C5">
        <w:rPr>
          <w:rFonts w:ascii="Aptos" w:eastAsia="Times New Roman" w:hAnsi="Aptos" w:cs="Arial"/>
          <w:b/>
        </w:rPr>
        <w:t>J.</w:t>
      </w:r>
      <w:r w:rsidRPr="00F346C5">
        <w:rPr>
          <w:rFonts w:ascii="Aptos" w:eastAsia="Times New Roman" w:hAnsi="Aptos" w:cs="Arial"/>
          <w:b/>
        </w:rPr>
        <w:tab/>
        <w:t xml:space="preserve">Accounting and Reporting of Fiduciary Activities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hAnsi="Aptos" w:cs="Arial"/>
        </w:rPr>
        <w:t xml:space="preserve">Pursuant to the provisions of GASB Statement No. 84, </w:t>
      </w:r>
      <w:r w:rsidRPr="00F346C5">
        <w:rPr>
          <w:rFonts w:ascii="Aptos" w:hAnsi="Aptos" w:cs="Arial"/>
          <w:i/>
        </w:rPr>
        <w:t>Fiduciary Activities</w:t>
      </w:r>
      <w:r w:rsidRPr="00F346C5">
        <w:rPr>
          <w:rFonts w:ascii="Aptos" w:hAnsi="Aptos" w:cs="Arial"/>
        </w:rPr>
        <w:t xml:space="preserve">, custodial funds that are normally expected to be received and disbursed within a 3-month period or otherwise do not meet the fiduciary activity criteria defined by GASB Statement No. 84 continue to be reported in the Statement of Net Position as funds held for others and as operating activities in the Statement of Cash Flows. </w:t>
      </w:r>
      <w:r w:rsidRPr="00F346C5">
        <w:rPr>
          <w:rFonts w:ascii="Aptos" w:hAnsi="Aptos" w:cs="Arial"/>
          <w:b/>
          <w:bCs/>
          <w:i/>
          <w:iCs/>
          <w:color w:val="0000FF"/>
        </w:rPr>
        <w:t>[Delete if not applicable or significant for your College.]</w:t>
      </w:r>
    </w:p>
    <w:p w14:paraId="50CE7C01" w14:textId="77777777" w:rsidR="009D62EA" w:rsidRPr="00F346C5" w:rsidRDefault="009D62EA" w:rsidP="009D62EA">
      <w:pPr>
        <w:spacing w:after="240" w:line="240" w:lineRule="auto"/>
        <w:ind w:left="360"/>
        <w:jc w:val="both"/>
        <w:rPr>
          <w:rFonts w:ascii="Aptos" w:hAnsi="Aptos" w:cs="Arial"/>
        </w:rPr>
      </w:pPr>
      <w:r w:rsidRPr="00F346C5">
        <w:rPr>
          <w:rFonts w:ascii="Aptos" w:hAnsi="Aptos" w:cs="Arial"/>
        </w:rPr>
        <w:t>There are no other trust or custodial funds meeting the criteria of a fiduciary activity that are required to be reported in separate fiduciary fund financial statements.</w:t>
      </w:r>
    </w:p>
    <w:p w14:paraId="1C781340" w14:textId="64549869" w:rsidR="009D62EA" w:rsidRPr="00F346C5" w:rsidRDefault="009D62EA" w:rsidP="009D62EA">
      <w:pPr>
        <w:spacing w:after="240" w:line="240" w:lineRule="auto"/>
        <w:ind w:left="360" w:hanging="360"/>
        <w:jc w:val="both"/>
        <w:rPr>
          <w:rFonts w:ascii="Aptos" w:hAnsi="Aptos" w:cs="Arial"/>
          <w:bCs/>
        </w:rPr>
      </w:pPr>
      <w:r w:rsidRPr="00F346C5">
        <w:rPr>
          <w:rFonts w:ascii="Aptos" w:eastAsia="Times New Roman" w:hAnsi="Aptos" w:cs="Arial"/>
          <w:b/>
        </w:rPr>
        <w:t>K.</w:t>
      </w:r>
      <w:r w:rsidRPr="00F346C5">
        <w:rPr>
          <w:rFonts w:ascii="Aptos" w:eastAsia="Times New Roman" w:hAnsi="Aptos" w:cs="Arial"/>
          <w:b/>
        </w:rPr>
        <w:tab/>
      </w:r>
      <w:r w:rsidRPr="00F346C5">
        <w:rPr>
          <w:rFonts w:ascii="Aptos" w:eastAsia="Times New Roman" w:hAnsi="Aptos" w:cs="Arial"/>
          <w:b/>
          <w:bCs/>
        </w:rPr>
        <w:t xml:space="preserve">Noncurrent Long-Term Liabilities </w:t>
      </w:r>
      <w:r w:rsidRPr="00F346C5">
        <w:rPr>
          <w:rFonts w:ascii="Aptos" w:eastAsia="Times New Roman" w:hAnsi="Aptos" w:cs="Arial"/>
          <w:bCs/>
        </w:rPr>
        <w:t xml:space="preserve">- Noncurrent long-term liabilities include </w:t>
      </w:r>
      <w:r w:rsidRPr="00F346C5">
        <w:rPr>
          <w:rFonts w:ascii="Aptos" w:hAnsi="Aptos" w:cs="Arial"/>
          <w:bCs/>
        </w:rPr>
        <w:t xml:space="preserve">principal amounts of long-term debt and other long-term liabilities that will not be paid within the next fiscal year. </w:t>
      </w:r>
      <w:r w:rsidRPr="00F346C5">
        <w:rPr>
          <w:rFonts w:ascii="Aptos" w:eastAsia="Times New Roman" w:hAnsi="Aptos" w:cs="Arial"/>
          <w:bCs/>
        </w:rPr>
        <w:t xml:space="preserve">Debt is defined as a liability that arises from a contractual obligation to pay cash (or other assets that may be used in lieu of cash) in one or more payments to settle an amount that is fixed at the date the contractual obligation is established. </w:t>
      </w:r>
      <w:r w:rsidRPr="00F346C5">
        <w:rPr>
          <w:rFonts w:ascii="Aptos" w:hAnsi="Aptos" w:cs="Arial"/>
          <w:bCs/>
        </w:rPr>
        <w:t xml:space="preserve">Long-term debt includes notes from direct borrowings and anticipation notes. Other long-term liabilities include: annuities payable, pollution remediation payable, asset retirement obligations, lease </w:t>
      </w:r>
      <w:r w:rsidR="00585763" w:rsidRPr="00F346C5">
        <w:rPr>
          <w:rFonts w:ascii="Aptos" w:hAnsi="Aptos" w:cs="Arial"/>
          <w:bCs/>
        </w:rPr>
        <w:t>liabilities</w:t>
      </w:r>
      <w:r w:rsidRPr="00F346C5">
        <w:rPr>
          <w:rFonts w:ascii="Aptos" w:hAnsi="Aptos" w:cs="Arial"/>
          <w:bCs/>
        </w:rPr>
        <w:t>,</w:t>
      </w:r>
      <w:r w:rsidR="00585763" w:rsidRPr="00F346C5">
        <w:rPr>
          <w:rFonts w:ascii="Aptos" w:hAnsi="Aptos" w:cs="Arial"/>
          <w:bCs/>
        </w:rPr>
        <w:t xml:space="preserve"> subscription liabilities,</w:t>
      </w:r>
      <w:r w:rsidRPr="00F346C5">
        <w:rPr>
          <w:rFonts w:ascii="Aptos" w:hAnsi="Aptos" w:cs="Arial"/>
          <w:bCs/>
        </w:rPr>
        <w:t xml:space="preserve"> compensated absences, net pension liability, and net other postemployment benefits (OPEB) liability. </w:t>
      </w:r>
    </w:p>
    <w:p w14:paraId="45872C68" w14:textId="0D63C129" w:rsidR="009D62EA" w:rsidRPr="00F346C5" w:rsidRDefault="009D62EA" w:rsidP="009D62EA">
      <w:pPr>
        <w:spacing w:after="240" w:line="240" w:lineRule="auto"/>
        <w:ind w:left="360"/>
        <w:jc w:val="both"/>
        <w:rPr>
          <w:rFonts w:ascii="Aptos" w:eastAsia="Times New Roman" w:hAnsi="Aptos" w:cs="Arial"/>
          <w:b/>
          <w:bCs/>
          <w:i/>
          <w:iCs/>
          <w:color w:val="0000FF"/>
        </w:rPr>
      </w:pPr>
      <w:r w:rsidRPr="00F346C5">
        <w:rPr>
          <w:rFonts w:ascii="Aptos" w:eastAsia="Times New Roman" w:hAnsi="Aptos" w:cs="Arial"/>
          <w:bCs/>
          <w:iCs/>
        </w:rPr>
        <w:t xml:space="preserve">The net pension liability represents the College’s proportionate share of the collective net pension liability reported in the State of North Carolina’s </w:t>
      </w:r>
      <w:r w:rsidR="00277EF8" w:rsidRPr="00F346C5">
        <w:rPr>
          <w:rFonts w:ascii="Aptos" w:eastAsia="Times New Roman" w:hAnsi="Aptos" w:cs="Arial"/>
          <w:bCs/>
          <w:iCs/>
          <w:highlight w:val="yellow"/>
        </w:rPr>
        <w:t>202</w:t>
      </w:r>
      <w:r w:rsidR="00F759C7">
        <w:rPr>
          <w:rFonts w:ascii="Aptos" w:eastAsia="Times New Roman" w:hAnsi="Aptos" w:cs="Arial"/>
          <w:bCs/>
          <w:iCs/>
          <w:highlight w:val="yellow"/>
        </w:rPr>
        <w:t>5</w:t>
      </w:r>
      <w:r w:rsidR="00277EF8" w:rsidRPr="00F346C5">
        <w:rPr>
          <w:rFonts w:ascii="Aptos" w:eastAsia="Times New Roman" w:hAnsi="Aptos" w:cs="Arial"/>
          <w:bCs/>
          <w:iCs/>
        </w:rPr>
        <w:t xml:space="preserve"> </w:t>
      </w:r>
      <w:r w:rsidRPr="00F346C5">
        <w:rPr>
          <w:rFonts w:ascii="Aptos" w:eastAsia="Times New Roman" w:hAnsi="Aptos" w:cs="Arial"/>
          <w:bCs/>
          <w:i/>
          <w:iCs/>
        </w:rPr>
        <w:t>Annual Comprehensive Financial Report.</w:t>
      </w:r>
      <w:r w:rsidRPr="00F346C5">
        <w:rPr>
          <w:rFonts w:ascii="Aptos" w:eastAsia="Times New Roman" w:hAnsi="Aptos" w:cs="Arial"/>
          <w:bCs/>
          <w:iCs/>
        </w:rPr>
        <w:t xml:space="preserve"> This liability represents the College’s portion of the collective total pension liability less the fiduciary net position of the Teachers’ and State Employees’ Retirement System. See Note </w:t>
      </w:r>
      <w:r w:rsidRPr="00F346C5">
        <w:rPr>
          <w:rFonts w:ascii="Aptos" w:eastAsia="Times New Roman" w:hAnsi="Aptos" w:cs="Arial"/>
          <w:b/>
          <w:bCs/>
          <w:iCs/>
          <w:color w:val="0000FF"/>
        </w:rPr>
        <w:t>XX</w:t>
      </w:r>
      <w:r w:rsidRPr="00F346C5">
        <w:rPr>
          <w:rFonts w:ascii="Aptos" w:eastAsia="Times New Roman" w:hAnsi="Aptos" w:cs="Arial"/>
          <w:bCs/>
          <w:iCs/>
        </w:rPr>
        <w:t xml:space="preserve"> for further information regarding the College’s policies for recognizing liabilities, expenses, deferred outflows of resources, and deferred inflows of resources related to pensions.</w:t>
      </w:r>
      <w:r w:rsidRPr="00F346C5">
        <w:rPr>
          <w:rFonts w:ascii="Aptos" w:eastAsia="Times New Roman" w:hAnsi="Aptos" w:cs="Arial"/>
          <w:b/>
          <w:bCs/>
          <w:i/>
          <w:iCs/>
          <w:color w:val="0000FF"/>
        </w:rPr>
        <w:t xml:space="preserve"> </w:t>
      </w:r>
    </w:p>
    <w:p w14:paraId="6DBF676C" w14:textId="46F5EDCD" w:rsidR="009D62EA" w:rsidRPr="00F346C5" w:rsidRDefault="009D62EA" w:rsidP="009D62EA">
      <w:pPr>
        <w:spacing w:after="240" w:line="240" w:lineRule="auto"/>
        <w:ind w:left="360"/>
        <w:jc w:val="both"/>
        <w:rPr>
          <w:rFonts w:ascii="Aptos" w:eastAsia="Times New Roman" w:hAnsi="Aptos" w:cs="Arial"/>
          <w:bCs/>
          <w:iCs/>
        </w:rPr>
      </w:pPr>
      <w:r w:rsidRPr="00F346C5">
        <w:rPr>
          <w:rFonts w:ascii="Aptos" w:eastAsia="Times New Roman" w:hAnsi="Aptos" w:cs="Arial"/>
          <w:bCs/>
          <w:iCs/>
        </w:rPr>
        <w:t xml:space="preserve">The net OPEB liability represents the College’s proportionate share of the collective net OPEB liability reported in the State of North Carolina’s </w:t>
      </w:r>
      <w:r w:rsidR="00277EF8" w:rsidRPr="00F346C5">
        <w:rPr>
          <w:rFonts w:ascii="Aptos" w:eastAsia="Times New Roman" w:hAnsi="Aptos" w:cs="Arial"/>
          <w:bCs/>
          <w:iCs/>
          <w:highlight w:val="yellow"/>
        </w:rPr>
        <w:t>202</w:t>
      </w:r>
      <w:r w:rsidR="00F759C7">
        <w:rPr>
          <w:rFonts w:ascii="Aptos" w:eastAsia="Times New Roman" w:hAnsi="Aptos" w:cs="Arial"/>
          <w:bCs/>
          <w:iCs/>
          <w:highlight w:val="yellow"/>
        </w:rPr>
        <w:t>5</w:t>
      </w:r>
      <w:r w:rsidR="00277EF8" w:rsidRPr="00F346C5">
        <w:rPr>
          <w:rFonts w:ascii="Aptos" w:eastAsia="Times New Roman" w:hAnsi="Aptos" w:cs="Arial"/>
          <w:bCs/>
          <w:iCs/>
        </w:rPr>
        <w:t xml:space="preserve"> </w:t>
      </w:r>
      <w:r w:rsidRPr="00F346C5">
        <w:rPr>
          <w:rFonts w:ascii="Aptos" w:eastAsia="Times New Roman" w:hAnsi="Aptos" w:cs="Arial"/>
          <w:bCs/>
          <w:i/>
          <w:iCs/>
        </w:rPr>
        <w:t>Annual Comprehensive Financial Report</w:t>
      </w:r>
      <w:r w:rsidRPr="00F346C5">
        <w:rPr>
          <w:rFonts w:ascii="Aptos" w:eastAsia="Times New Roman" w:hAnsi="Aptos" w:cs="Arial"/>
          <w:bCs/>
          <w:iCs/>
        </w:rPr>
        <w:t xml:space="preserve">. This liability represents the College’s portion of the collective total OPEB liability less the fiduciary net position of the </w:t>
      </w:r>
      <w:r w:rsidR="007F7080" w:rsidRPr="00B531E4">
        <w:rPr>
          <w:rFonts w:ascii="Aptos" w:hAnsi="Aptos" w:cs="Arial"/>
          <w:bCs/>
          <w:iCs/>
        </w:rPr>
        <w:t>Retiree Health Benefit Fund</w:t>
      </w:r>
      <w:r w:rsidR="007F7080" w:rsidRPr="00B531E4">
        <w:rPr>
          <w:rFonts w:ascii="Aptos" w:hAnsi="Aptos" w:cs="Arial"/>
        </w:rPr>
        <w:t>.</w:t>
      </w:r>
      <w:r w:rsidR="007F7080" w:rsidRPr="00F346C5">
        <w:rPr>
          <w:rFonts w:ascii="Aptos" w:hAnsi="Aptos" w:cs="Arial"/>
        </w:rPr>
        <w:t xml:space="preserve"> </w:t>
      </w:r>
      <w:r w:rsidRPr="00F346C5">
        <w:rPr>
          <w:rFonts w:ascii="Aptos" w:eastAsia="Times New Roman" w:hAnsi="Aptos" w:cs="Arial"/>
          <w:bCs/>
          <w:iCs/>
        </w:rPr>
        <w:t xml:space="preserve">See Note </w:t>
      </w:r>
      <w:r w:rsidRPr="00F346C5">
        <w:rPr>
          <w:rFonts w:ascii="Aptos" w:eastAsia="Times New Roman" w:hAnsi="Aptos" w:cs="Arial"/>
          <w:b/>
          <w:bCs/>
          <w:iCs/>
          <w:color w:val="0000FF"/>
        </w:rPr>
        <w:t>XX</w:t>
      </w:r>
      <w:r w:rsidRPr="00F346C5">
        <w:rPr>
          <w:rFonts w:ascii="Aptos" w:eastAsia="Times New Roman" w:hAnsi="Aptos" w:cs="Arial"/>
          <w:bCs/>
          <w:iCs/>
        </w:rPr>
        <w:t xml:space="preserve"> for further information regarding the College’s policies for recognizing liabilities, expenses, deferred outflows of resources, and deferred inflows of resources related to OPEB. </w:t>
      </w:r>
    </w:p>
    <w:p w14:paraId="62EF8BAD" w14:textId="09E63013" w:rsidR="009D62EA" w:rsidRPr="00F346C5" w:rsidRDefault="009D62EA" w:rsidP="009D62EA">
      <w:pPr>
        <w:spacing w:after="240" w:line="240" w:lineRule="auto"/>
        <w:ind w:left="360" w:hanging="360"/>
        <w:jc w:val="both"/>
        <w:rPr>
          <w:rFonts w:ascii="Aptos" w:eastAsia="Times New Roman" w:hAnsi="Aptos" w:cs="Arial"/>
        </w:rPr>
      </w:pPr>
      <w:r w:rsidRPr="00F346C5">
        <w:rPr>
          <w:rFonts w:ascii="Aptos" w:eastAsia="Times New Roman" w:hAnsi="Aptos" w:cs="Arial"/>
          <w:b/>
        </w:rPr>
        <w:lastRenderedPageBreak/>
        <w:t>L.</w:t>
      </w:r>
      <w:r w:rsidRPr="00F346C5">
        <w:rPr>
          <w:rFonts w:ascii="Aptos" w:eastAsia="Times New Roman" w:hAnsi="Aptos" w:cs="Arial"/>
          <w:b/>
        </w:rPr>
        <w:tab/>
        <w:t xml:space="preserve">Compensated Absences </w:t>
      </w:r>
      <w:r w:rsidR="00F3234E">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rPr>
        <w:t>The</w:t>
      </w:r>
      <w:r w:rsidR="00F3234E">
        <w:rPr>
          <w:rFonts w:ascii="Aptos" w:eastAsia="Times New Roman" w:hAnsi="Aptos" w:cs="Arial"/>
        </w:rPr>
        <w:t xml:space="preserve"> </w:t>
      </w:r>
      <w:r w:rsidR="00F3234E" w:rsidRPr="00B531E4">
        <w:rPr>
          <w:rFonts w:ascii="Aptos" w:eastAsia="Times New Roman" w:hAnsi="Aptos" w:cs="Arial"/>
        </w:rPr>
        <w:t>College</w:t>
      </w:r>
      <w:r w:rsidRPr="00B531E4">
        <w:rPr>
          <w:rFonts w:ascii="Aptos" w:eastAsia="Times New Roman" w:hAnsi="Aptos" w:cs="Arial"/>
        </w:rPr>
        <w:t xml:space="preserve"> </w:t>
      </w:r>
      <w:r w:rsidR="00F3234E" w:rsidRPr="00B531E4">
        <w:rPr>
          <w:rFonts w:ascii="Aptos" w:eastAsia="Times New Roman" w:hAnsi="Aptos" w:cs="Arial"/>
        </w:rPr>
        <w:t>accrues a liability for earned leave that carries over to future periods and is more likely than not to be used for time off or otherwise paid in cash or settled through noncash means. When determining the liability, leave is considered taken on a last in, first out (LIFO) basis.</w:t>
      </w:r>
    </w:p>
    <w:p w14:paraId="75CDED91" w14:textId="2AC5E1FD" w:rsidR="00F3234E" w:rsidRDefault="00F3234E" w:rsidP="0048226F">
      <w:pPr>
        <w:spacing w:after="240" w:line="240" w:lineRule="auto"/>
        <w:ind w:left="360"/>
        <w:jc w:val="both"/>
        <w:rPr>
          <w:rFonts w:ascii="Aptos" w:eastAsia="Times New Roman" w:hAnsi="Aptos" w:cs="Arial"/>
          <w:highlight w:val="yellow"/>
        </w:rPr>
      </w:pPr>
      <w:r w:rsidRPr="00B531E4">
        <w:rPr>
          <w:rFonts w:ascii="Aptos" w:eastAsia="Times New Roman" w:hAnsi="Aptos" w:cs="Arial"/>
        </w:rPr>
        <w:t xml:space="preserve">Vacation Leave – Leave policies vary by employee group. For employees exempt from the </w:t>
      </w:r>
      <w:r w:rsidR="00561D73" w:rsidRPr="00B531E4">
        <w:rPr>
          <w:rFonts w:ascii="Aptos" w:eastAsia="Times New Roman" w:hAnsi="Aptos" w:cs="Arial"/>
          <w:highlight w:val="yellow"/>
        </w:rPr>
        <w:t>North Carolina</w:t>
      </w:r>
      <w:r w:rsidR="00561D73" w:rsidRPr="0048226F">
        <w:rPr>
          <w:rFonts w:ascii="Aptos" w:eastAsia="Times New Roman" w:hAnsi="Aptos" w:cs="Arial"/>
          <w:highlight w:val="yellow"/>
        </w:rPr>
        <w:t xml:space="preserve"> </w:t>
      </w:r>
      <w:r w:rsidRPr="00B531E4">
        <w:rPr>
          <w:rFonts w:ascii="Aptos" w:eastAsia="Times New Roman" w:hAnsi="Aptos" w:cs="Arial"/>
        </w:rPr>
        <w:t xml:space="preserve">Human </w:t>
      </w:r>
      <w:r w:rsidRPr="0048226F">
        <w:rPr>
          <w:rFonts w:ascii="Aptos" w:eastAsia="Times New Roman" w:hAnsi="Aptos" w:cs="Arial"/>
          <w:highlight w:val="yellow"/>
        </w:rPr>
        <w:t>Resource</w:t>
      </w:r>
      <w:r w:rsidR="0048226F" w:rsidRPr="00B531E4">
        <w:rPr>
          <w:rFonts w:ascii="Aptos" w:eastAsia="Times New Roman" w:hAnsi="Aptos" w:cs="Arial"/>
          <w:highlight w:val="yellow"/>
        </w:rPr>
        <w:t>s</w:t>
      </w:r>
      <w:r w:rsidRPr="00B531E4">
        <w:rPr>
          <w:rFonts w:ascii="Aptos" w:eastAsia="Times New Roman" w:hAnsi="Aptos" w:cs="Arial"/>
        </w:rPr>
        <w:t xml:space="preserve"> Act, vacation is earned through the annual or personal leave programs established by the State Board of Community Colleges. Leave is earned monthly and is subject to a maximum accumulated unused amount as of the end of each calendar year. The maximum amounts and the ability to convert amounts over the maximum to sick leave vary based on the program. </w:t>
      </w:r>
    </w:p>
    <w:p w14:paraId="1ACE45FD" w14:textId="1C048E25" w:rsidR="009D62EA" w:rsidRPr="00F3234E" w:rsidRDefault="00F3234E" w:rsidP="00F3234E">
      <w:pPr>
        <w:spacing w:after="240" w:line="240" w:lineRule="auto"/>
        <w:ind w:left="360"/>
        <w:jc w:val="both"/>
        <w:rPr>
          <w:rFonts w:ascii="Aptos" w:eastAsia="Times New Roman" w:hAnsi="Aptos" w:cs="Arial"/>
          <w:highlight w:val="yellow"/>
        </w:rPr>
      </w:pPr>
      <w:r w:rsidRPr="00B531E4">
        <w:rPr>
          <w:rFonts w:ascii="Aptos" w:eastAsia="Times New Roman" w:hAnsi="Aptos" w:cs="Arial"/>
        </w:rPr>
        <w:t xml:space="preserve">Bonus Leave – </w:t>
      </w:r>
      <w:r w:rsidRPr="00F3234E">
        <w:rPr>
          <w:rFonts w:ascii="Aptos" w:eastAsia="Times New Roman" w:hAnsi="Aptos" w:cs="Arial"/>
        </w:rPr>
        <w:t>Bonus leave includes the special annual leave bonuses awarded by the North Carolina General Assembly. The bonus leave balance on December 31 is retained by employees and transferred to the next calendar year. It is not subject to the limitation on annual leave carried forward described above and is not subject to conversion to sick leave.</w:t>
      </w:r>
      <w:r>
        <w:rPr>
          <w:rFonts w:ascii="Aptos" w:eastAsia="Times New Roman" w:hAnsi="Aptos" w:cs="Arial"/>
        </w:rPr>
        <w:t xml:space="preserve"> </w:t>
      </w:r>
      <w:r w:rsidR="009D62EA" w:rsidRPr="00F346C5">
        <w:rPr>
          <w:rFonts w:ascii="Aptos" w:eastAsia="Times New Roman" w:hAnsi="Aptos" w:cs="Arial"/>
          <w:b/>
          <w:i/>
          <w:color w:val="0000FF"/>
        </w:rPr>
        <w:t>[Revise wording to actual practice of the College. Not all Colleges awarded bonus leave since they were not required to.]</w:t>
      </w:r>
    </w:p>
    <w:p w14:paraId="45CD2BE8" w14:textId="65388287" w:rsidR="00F3234E" w:rsidRPr="00B531E4" w:rsidRDefault="00F3234E" w:rsidP="00F3234E">
      <w:pPr>
        <w:spacing w:after="240" w:line="240" w:lineRule="auto"/>
        <w:ind w:left="360"/>
        <w:jc w:val="both"/>
        <w:rPr>
          <w:rFonts w:ascii="Aptos" w:eastAsia="Times New Roman" w:hAnsi="Aptos" w:cs="Arial"/>
        </w:rPr>
      </w:pPr>
      <w:r w:rsidRPr="00B531E4">
        <w:rPr>
          <w:rFonts w:ascii="Aptos" w:eastAsia="Times New Roman" w:hAnsi="Aptos" w:cs="Arial"/>
        </w:rPr>
        <w:t>Sick Leave – Sick leave is earned monthly by eligible employees. The policy provides for the accumulation of unused sick leave to be carried forward until used. When employment is terminated, unused leave is forfeited or used to increase a member’s creditable service for employees participating in the North Carolina Teachers’ and State Employees’ Retirement System (TSERS). Based on a historical analysis of sick leave taken compared to sick leave earned, the liability for unused sick leave using the LIFO method was determined to be insignificant</w:t>
      </w:r>
      <w:r w:rsidR="00FD608E" w:rsidRPr="00B531E4">
        <w:rPr>
          <w:rFonts w:ascii="Aptos" w:eastAsia="Times New Roman" w:hAnsi="Aptos" w:cs="Arial"/>
        </w:rPr>
        <w:t xml:space="preserve">. </w:t>
      </w:r>
      <w:r w:rsidRPr="00B531E4">
        <w:rPr>
          <w:rFonts w:ascii="Aptos" w:eastAsia="Times New Roman" w:hAnsi="Aptos" w:cs="Arial"/>
        </w:rPr>
        <w:t>Therefore, no sick leave liability is recognized on the financial statements</w:t>
      </w:r>
    </w:p>
    <w:p w14:paraId="6B1A48E2" w14:textId="5F3389CE" w:rsidR="00F3234E" w:rsidRPr="00B531E4" w:rsidRDefault="00F3234E" w:rsidP="00F3234E">
      <w:pPr>
        <w:spacing w:after="240" w:line="240" w:lineRule="auto"/>
        <w:ind w:left="360"/>
        <w:jc w:val="both"/>
        <w:rPr>
          <w:rFonts w:ascii="Aptos" w:eastAsia="Times New Roman" w:hAnsi="Aptos" w:cs="Arial"/>
        </w:rPr>
      </w:pPr>
      <w:r w:rsidRPr="00B531E4">
        <w:rPr>
          <w:rFonts w:ascii="Aptos" w:eastAsia="Times New Roman" w:hAnsi="Aptos" w:cs="Arial"/>
          <w:b/>
          <w:bCs/>
          <w:color w:val="0000FF"/>
        </w:rPr>
        <w:t>[Other Leave]</w:t>
      </w:r>
      <w:r w:rsidRPr="00B531E4">
        <w:rPr>
          <w:rFonts w:ascii="Aptos" w:eastAsia="Times New Roman" w:hAnsi="Aptos" w:cs="Arial"/>
          <w:color w:val="0000FF"/>
        </w:rPr>
        <w:t xml:space="preserve"> </w:t>
      </w:r>
      <w:r w:rsidRPr="00B531E4">
        <w:rPr>
          <w:rFonts w:ascii="Aptos" w:eastAsia="Times New Roman" w:hAnsi="Aptos" w:cs="Arial"/>
        </w:rPr>
        <w:t>– Other leave programs include unrestricted sabbatical leave, compensatory leave-off, parental leave, military leave, and civil leave</w:t>
      </w:r>
      <w:r w:rsidR="00FD608E" w:rsidRPr="00B531E4">
        <w:rPr>
          <w:rFonts w:ascii="Aptos" w:eastAsia="Times New Roman" w:hAnsi="Aptos" w:cs="Arial"/>
        </w:rPr>
        <w:t xml:space="preserve">. </w:t>
      </w:r>
      <w:r w:rsidRPr="00B531E4">
        <w:rPr>
          <w:rFonts w:ascii="Aptos" w:eastAsia="Times New Roman" w:hAnsi="Aptos" w:cs="Arial"/>
          <w:b/>
          <w:bCs/>
          <w:color w:val="0000FF"/>
        </w:rPr>
        <w:t>If a program is significant, identify the program and disclose college policy for recording a liability, otherwise disclosure not necessa</w:t>
      </w:r>
      <w:r w:rsidRPr="00B531E4">
        <w:rPr>
          <w:rFonts w:ascii="Aptos" w:eastAsia="Times New Roman" w:hAnsi="Aptos" w:cs="Arial"/>
          <w:color w:val="0000FF"/>
        </w:rPr>
        <w:t>r</w:t>
      </w:r>
      <w:r w:rsidRPr="00B531E4">
        <w:rPr>
          <w:rFonts w:ascii="Aptos" w:eastAsia="Times New Roman" w:hAnsi="Aptos" w:cs="Arial"/>
          <w:b/>
          <w:bCs/>
          <w:color w:val="0000FF"/>
        </w:rPr>
        <w:t>y]</w:t>
      </w:r>
    </w:p>
    <w:p w14:paraId="30C00051" w14:textId="53791334" w:rsidR="00F3234E" w:rsidRDefault="00F3234E" w:rsidP="009D62EA">
      <w:pPr>
        <w:spacing w:after="240" w:line="240" w:lineRule="auto"/>
        <w:ind w:left="360"/>
        <w:jc w:val="both"/>
        <w:rPr>
          <w:rFonts w:ascii="Aptos" w:eastAsia="Times New Roman" w:hAnsi="Aptos" w:cs="Arial"/>
        </w:rPr>
      </w:pPr>
      <w:r w:rsidRPr="00F346C5">
        <w:rPr>
          <w:rFonts w:ascii="Aptos" w:eastAsia="Times New Roman" w:hAnsi="Aptos" w:cs="Arial"/>
          <w:b/>
          <w:i/>
          <w:color w:val="0000FF"/>
        </w:rPr>
        <w:t>[Revise wording to actual policy of the College, if different from above.]</w:t>
      </w:r>
    </w:p>
    <w:p w14:paraId="52A5DBA0" w14:textId="6094179D" w:rsidR="009D62EA" w:rsidRPr="00F346C5" w:rsidRDefault="009D62EA" w:rsidP="009D62EA">
      <w:pPr>
        <w:autoSpaceDE w:val="0"/>
        <w:autoSpaceDN w:val="0"/>
        <w:adjustRightInd w:val="0"/>
        <w:spacing w:after="240" w:line="240" w:lineRule="auto"/>
        <w:ind w:left="360" w:hanging="360"/>
        <w:jc w:val="both"/>
        <w:rPr>
          <w:rFonts w:ascii="Aptos" w:hAnsi="Aptos" w:cs="Arial"/>
          <w:b/>
          <w:i/>
          <w:color w:val="0000FF"/>
        </w:rPr>
      </w:pPr>
      <w:r w:rsidRPr="00F346C5">
        <w:rPr>
          <w:rFonts w:ascii="Aptos" w:eastAsia="Times New Roman" w:hAnsi="Aptos" w:cs="Arial"/>
          <w:b/>
        </w:rPr>
        <w:t xml:space="preserve">M. </w:t>
      </w:r>
      <w:r w:rsidRPr="00F346C5">
        <w:rPr>
          <w:rFonts w:ascii="Aptos" w:eastAsia="Times New Roman" w:hAnsi="Aptos" w:cs="Arial"/>
          <w:b/>
        </w:rPr>
        <w:tab/>
        <w:t xml:space="preserve">Deferred Outflows/Inflows of Resources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Calibri" w:hAnsi="Aptos" w:cs="Arial"/>
          <w:iCs/>
        </w:rPr>
        <w:t>Deferred outflows of resources</w:t>
      </w:r>
      <w:r w:rsidRPr="00F346C5">
        <w:rPr>
          <w:rFonts w:ascii="Aptos" w:eastAsia="Calibri" w:hAnsi="Aptos" w:cs="Arial"/>
        </w:rPr>
        <w:t xml:space="preserve"> represent a consumption of net </w:t>
      </w:r>
      <w:r w:rsidR="00D545E5" w:rsidRPr="00F346C5">
        <w:rPr>
          <w:rFonts w:ascii="Aptos" w:eastAsia="Calibri" w:hAnsi="Aptos" w:cs="Arial"/>
        </w:rPr>
        <w:t>assets</w:t>
      </w:r>
      <w:r w:rsidRPr="00F346C5">
        <w:rPr>
          <w:rFonts w:ascii="Aptos" w:eastAsia="Calibri" w:hAnsi="Aptos" w:cs="Arial"/>
        </w:rPr>
        <w:t xml:space="preserve"> that applies to a future period(s) and so will not be recognized as an outflow of resources (expense) until then. </w:t>
      </w:r>
      <w:r w:rsidRPr="00F346C5">
        <w:rPr>
          <w:rFonts w:ascii="Aptos" w:eastAsia="Calibri" w:hAnsi="Aptos" w:cs="Arial"/>
          <w:iCs/>
        </w:rPr>
        <w:t xml:space="preserve">Deferred inflows of resources </w:t>
      </w:r>
      <w:r w:rsidRPr="00F346C5">
        <w:rPr>
          <w:rFonts w:ascii="Aptos" w:eastAsia="Calibri" w:hAnsi="Aptos" w:cs="Arial"/>
        </w:rPr>
        <w:t xml:space="preserve">represent an acquisition of net </w:t>
      </w:r>
      <w:r w:rsidR="00D545E5" w:rsidRPr="00F346C5">
        <w:rPr>
          <w:rFonts w:ascii="Aptos" w:eastAsia="Calibri" w:hAnsi="Aptos" w:cs="Arial"/>
        </w:rPr>
        <w:t>assets</w:t>
      </w:r>
      <w:r w:rsidRPr="00F346C5">
        <w:rPr>
          <w:rFonts w:ascii="Aptos" w:eastAsia="Calibri" w:hAnsi="Aptos" w:cs="Arial"/>
        </w:rPr>
        <w:t xml:space="preserve"> that applies to a future period(s) and so will not be recognized as an inflow of resources (revenue) until then.</w:t>
      </w:r>
    </w:p>
    <w:p w14:paraId="3FE758ED" w14:textId="77777777" w:rsidR="009D62EA" w:rsidRPr="00F346C5" w:rsidRDefault="009D62EA" w:rsidP="009D62EA">
      <w:pPr>
        <w:spacing w:after="240" w:line="240" w:lineRule="auto"/>
        <w:ind w:left="360" w:hanging="360"/>
        <w:jc w:val="both"/>
        <w:rPr>
          <w:rFonts w:ascii="Aptos" w:eastAsia="Times New Roman" w:hAnsi="Aptos" w:cs="Arial"/>
        </w:rPr>
      </w:pPr>
      <w:r w:rsidRPr="00F346C5">
        <w:rPr>
          <w:rFonts w:ascii="Aptos" w:eastAsia="Times New Roman" w:hAnsi="Aptos" w:cs="Arial"/>
          <w:b/>
        </w:rPr>
        <w:t>N.</w:t>
      </w:r>
      <w:r w:rsidRPr="00F346C5">
        <w:rPr>
          <w:rFonts w:ascii="Aptos" w:eastAsia="Times New Roman" w:hAnsi="Aptos" w:cs="Arial"/>
          <w:b/>
        </w:rPr>
        <w:tab/>
        <w:t xml:space="preserve">Net Position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rPr>
        <w:t>The College’s net position is classified as follows:</w:t>
      </w:r>
    </w:p>
    <w:p w14:paraId="294B40BC" w14:textId="77777777"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b/>
        </w:rPr>
        <w:t xml:space="preserve">Net Investment in Capital Assets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rPr>
        <w:t>This represents the College’s total investment in capital assets, net of outstanding liabilities related to those capital assets. Additionally, deferred outflows of resources and deferred inflows of resources that are attributable to the acquisition, construction, or improvement of capital assets or related debt are also included in this component of net position.</w:t>
      </w:r>
      <w:r w:rsidRPr="00F346C5">
        <w:rPr>
          <w:rFonts w:ascii="Aptos" w:eastAsia="Times New Roman" w:hAnsi="Aptos" w:cs="Arial"/>
          <w:b/>
          <w:i/>
          <w:color w:val="0000FF"/>
        </w:rPr>
        <w:t xml:space="preserve"> [Delete last sentence in this paragraph if not applicable to your entity. Additionally, remove the word ‘Net’ from this paragraph’s heading if there are no liabilities related to capital assets at your institution. Liabilities related to capital </w:t>
      </w:r>
      <w:r w:rsidRPr="00F346C5">
        <w:rPr>
          <w:rFonts w:ascii="Aptos" w:eastAsia="Times New Roman" w:hAnsi="Aptos" w:cs="Arial"/>
          <w:b/>
          <w:i/>
          <w:color w:val="0000FF"/>
        </w:rPr>
        <w:lastRenderedPageBreak/>
        <w:t xml:space="preserve">assets include retainage payable and any accounts payable that are attributable to the acquisition, construction, or improvement of capital assets. </w:t>
      </w:r>
      <w:r w:rsidRPr="00F346C5">
        <w:rPr>
          <w:rFonts w:ascii="Aptos" w:hAnsi="Aptos" w:cs="Arial"/>
          <w:b/>
          <w:i/>
          <w:color w:val="0000FF"/>
        </w:rPr>
        <w:t>See GASB Codification Section 2200.118 and 2200.709 for further guidance.]</w:t>
      </w:r>
    </w:p>
    <w:p w14:paraId="46FF2E75" w14:textId="77777777"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b/>
        </w:rPr>
        <w:t xml:space="preserve">Restricted Net Position </w:t>
      </w:r>
      <w:r w:rsidRPr="00F346C5">
        <w:rPr>
          <w:rFonts w:ascii="Aptos" w:eastAsia="Times New Roman" w:hAnsi="Aptos" w:cs="Arial"/>
        </w:rPr>
        <w:t>-</w:t>
      </w:r>
      <w:r w:rsidRPr="00F346C5">
        <w:rPr>
          <w:rFonts w:ascii="Aptos" w:eastAsia="Times New Roman" w:hAnsi="Aptos" w:cs="Arial"/>
          <w:b/>
        </w:rPr>
        <w:t xml:space="preserve"> Nonexpendable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rPr>
        <w:t>Nonexpendable restricted net position includes endowments and similar type assets whose use is limited by donors or other outside sources, and, as a condition of the gift, the principal is to be maintained in perpetuity.</w:t>
      </w:r>
    </w:p>
    <w:p w14:paraId="46A62741" w14:textId="77777777"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b/>
        </w:rPr>
        <w:t xml:space="preserve">Restricted Net Position </w:t>
      </w:r>
      <w:r w:rsidRPr="00F346C5">
        <w:rPr>
          <w:rFonts w:ascii="Aptos" w:eastAsia="Times New Roman" w:hAnsi="Aptos" w:cs="Arial"/>
        </w:rPr>
        <w:t>-</w:t>
      </w:r>
      <w:r w:rsidRPr="00F346C5">
        <w:rPr>
          <w:rFonts w:ascii="Aptos" w:eastAsia="Times New Roman" w:hAnsi="Aptos" w:cs="Arial"/>
          <w:b/>
        </w:rPr>
        <w:t xml:space="preserve"> Expendable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rPr>
        <w:t>Expendable restricted net position includes resources for which the College is legally or contractually obligated to spend in accordance with restrictions imposed by external parties.</w:t>
      </w:r>
    </w:p>
    <w:p w14:paraId="6F3CBFE7" w14:textId="77777777"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b/>
        </w:rPr>
        <w:t xml:space="preserve">Unrestricted Net Position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rPr>
        <w:t xml:space="preserve">Unrestricted net position includes resources derived from student tuition and fees, sales and services, unrestricted gifts, and interest income. </w:t>
      </w:r>
      <w:r w:rsidRPr="00F346C5">
        <w:rPr>
          <w:rFonts w:ascii="Aptos" w:hAnsi="Aptos" w:cs="Arial"/>
        </w:rPr>
        <w:t>It also includes the net position of accrued employee benefits such as compensated absences, pension plans, and other postemployment benefits.</w:t>
      </w:r>
    </w:p>
    <w:p w14:paraId="089AF237" w14:textId="77777777"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rPr>
        <w:t xml:space="preserve">Restricted and unrestricted resources are tracked using a fund accounting system and are spent in accordance with established fund authorities. Fund authorities provide rules for the fund activity and are separately established for restricted and unrestricted activities. When both restricted and unrestricted funds are available for expenditure, the decision for funding is transactional based within the departmental management system in place at the College. Both restricted and unrestricted net position include consideration of deferred outflows of resources and deferred inflows of resources. </w:t>
      </w:r>
      <w:r w:rsidRPr="00F346C5">
        <w:rPr>
          <w:rFonts w:ascii="Aptos" w:hAnsi="Aptos" w:cs="Arial"/>
        </w:rPr>
        <w:t xml:space="preserve">See Note </w:t>
      </w:r>
      <w:r w:rsidRPr="00F346C5">
        <w:rPr>
          <w:rFonts w:ascii="Aptos" w:hAnsi="Aptos" w:cs="Arial"/>
          <w:b/>
          <w:color w:val="0000FF"/>
        </w:rPr>
        <w:t>XX</w:t>
      </w:r>
      <w:r w:rsidRPr="00F346C5">
        <w:rPr>
          <w:rFonts w:ascii="Aptos" w:hAnsi="Aptos" w:cs="Arial"/>
        </w:rPr>
        <w:t xml:space="preserve"> for further information regarding deferred outflows of resources and deferred inflows of resources that had a significant effect on unrestricted net position.</w:t>
      </w:r>
    </w:p>
    <w:p w14:paraId="3B4ACDAC" w14:textId="7184E00B" w:rsidR="009D62EA" w:rsidRPr="00F346C5" w:rsidRDefault="009D62EA" w:rsidP="009D62EA">
      <w:pPr>
        <w:spacing w:after="240" w:line="240" w:lineRule="auto"/>
        <w:ind w:left="360" w:hanging="360"/>
        <w:jc w:val="both"/>
        <w:rPr>
          <w:rFonts w:ascii="Aptos" w:eastAsia="Times New Roman" w:hAnsi="Aptos" w:cs="Arial"/>
        </w:rPr>
      </w:pPr>
      <w:r w:rsidRPr="00F346C5">
        <w:rPr>
          <w:rFonts w:ascii="Aptos" w:eastAsia="Times New Roman" w:hAnsi="Aptos" w:cs="Arial"/>
          <w:b/>
          <w:bCs/>
        </w:rPr>
        <w:t>O.</w:t>
      </w:r>
      <w:r w:rsidRPr="00F346C5">
        <w:rPr>
          <w:rFonts w:ascii="Aptos" w:eastAsia="Times New Roman" w:hAnsi="Aptos" w:cs="Arial"/>
          <w:b/>
          <w:bCs/>
        </w:rPr>
        <w:tab/>
        <w:t xml:space="preserve">Scholarship Discounts </w:t>
      </w:r>
      <w:r w:rsidRPr="00F346C5">
        <w:rPr>
          <w:rFonts w:ascii="Aptos" w:eastAsia="Times New Roman" w:hAnsi="Aptos" w:cs="Arial"/>
          <w:bCs/>
        </w:rPr>
        <w:t>-</w:t>
      </w:r>
      <w:r w:rsidRPr="00F346C5">
        <w:rPr>
          <w:rFonts w:ascii="Aptos" w:eastAsia="Times New Roman" w:hAnsi="Aptos" w:cs="Arial"/>
          <w:b/>
          <w:bCs/>
        </w:rPr>
        <w:t xml:space="preserve"> </w:t>
      </w:r>
      <w:r w:rsidRPr="00F346C5">
        <w:rPr>
          <w:rFonts w:ascii="Aptos" w:eastAsia="Times New Roman" w:hAnsi="Aptos" w:cs="Arial"/>
        </w:rPr>
        <w:t xml:space="preserve">Student tuition and fees </w:t>
      </w:r>
      <w:r w:rsidR="00515EEE">
        <w:rPr>
          <w:rFonts w:ascii="Aptos" w:eastAsia="Times New Roman" w:hAnsi="Aptos" w:cs="Arial"/>
        </w:rPr>
        <w:t xml:space="preserve">revenues </w:t>
      </w:r>
      <w:r w:rsidR="00515EEE" w:rsidRPr="00B531E4">
        <w:rPr>
          <w:rFonts w:ascii="Aptos" w:eastAsia="Times New Roman" w:hAnsi="Aptos" w:cs="Arial"/>
        </w:rPr>
        <w:t>and auxiliary service revenues</w:t>
      </w:r>
      <w:r w:rsidR="00515EEE">
        <w:rPr>
          <w:rFonts w:ascii="Arial" w:eastAsia="Times New Roman" w:hAnsi="Arial" w:cs="Arial"/>
        </w:rPr>
        <w:t xml:space="preserve"> </w:t>
      </w:r>
      <w:r w:rsidRPr="00F346C5">
        <w:rPr>
          <w:rFonts w:ascii="Aptos" w:eastAsia="Times New Roman" w:hAnsi="Aptos" w:cs="Arial"/>
        </w:rPr>
        <w:t>from College charges are reported net of scholarship discounts in the accompanying Statement of Revenues, Expenses, and Changes in Net Position. The scholarship discount is the difference between the actual charge for goods and services provided by the College and the amount that is paid by students or by third parties on the students’ behalf</w:t>
      </w:r>
      <w:r w:rsidR="0019002A">
        <w:rPr>
          <w:rFonts w:ascii="Aptos" w:eastAsia="Times New Roman" w:hAnsi="Aptos" w:cs="Arial"/>
        </w:rPr>
        <w:t xml:space="preserve">. </w:t>
      </w:r>
      <w:r w:rsidR="0019002A" w:rsidRPr="002200EF">
        <w:rPr>
          <w:rFonts w:ascii="Aptos" w:eastAsia="Times New Roman" w:hAnsi="Aptos" w:cs="Arial"/>
          <w:highlight w:val="yellow"/>
        </w:rPr>
        <w:t xml:space="preserve">In accordance with GASB Statement No. 103, </w:t>
      </w:r>
      <w:r w:rsidR="0019002A" w:rsidRPr="002200EF">
        <w:rPr>
          <w:rFonts w:ascii="Aptos" w:eastAsia="Times New Roman" w:hAnsi="Aptos" w:cs="Arial"/>
          <w:i/>
          <w:iCs/>
          <w:highlight w:val="yellow"/>
        </w:rPr>
        <w:t>Financial Reporting Model Improvements</w:t>
      </w:r>
      <w:r w:rsidR="0019002A" w:rsidRPr="002200EF">
        <w:rPr>
          <w:rFonts w:ascii="Aptos" w:eastAsia="Times New Roman" w:hAnsi="Aptos" w:cs="Arial"/>
          <w:highlight w:val="yellow"/>
        </w:rPr>
        <w:t xml:space="preserve">, student financial assistance grants, such as Pell Grants, and other federal and state need-based grants are recorded as operating revenue in the accompanying Statement of Revenues, Expenses, and Changes in Net Position. To the extent that revenues from these programs are used to satisfy tuition, fees, and other charges, the </w:t>
      </w:r>
      <w:r w:rsidR="0019002A">
        <w:rPr>
          <w:rFonts w:ascii="Aptos" w:eastAsia="Times New Roman" w:hAnsi="Aptos" w:cs="Arial"/>
          <w:highlight w:val="yellow"/>
        </w:rPr>
        <w:t>College</w:t>
      </w:r>
      <w:r w:rsidR="0019002A" w:rsidRPr="002200EF">
        <w:rPr>
          <w:rFonts w:ascii="Aptos" w:eastAsia="Times New Roman" w:hAnsi="Aptos" w:cs="Arial"/>
          <w:highlight w:val="yellow"/>
        </w:rPr>
        <w:t xml:space="preserve"> has recorded a scholarship discount. </w:t>
      </w:r>
      <w:r w:rsidR="00227168" w:rsidRPr="00450E53">
        <w:rPr>
          <w:rFonts w:ascii="Aptos" w:eastAsia="Times New Roman" w:hAnsi="Aptos" w:cs="Arial"/>
          <w:highlight w:val="yellow"/>
        </w:rPr>
        <w:t xml:space="preserve">The </w:t>
      </w:r>
      <w:r w:rsidR="0019002A">
        <w:rPr>
          <w:rFonts w:ascii="Aptos" w:eastAsia="Times New Roman" w:hAnsi="Aptos" w:cs="Arial"/>
          <w:highlight w:val="yellow"/>
        </w:rPr>
        <w:t>College</w:t>
      </w:r>
      <w:r w:rsidR="00227168" w:rsidRPr="00450E53">
        <w:rPr>
          <w:rFonts w:ascii="Aptos" w:eastAsia="Times New Roman" w:hAnsi="Aptos" w:cs="Arial"/>
          <w:highlight w:val="yellow"/>
        </w:rPr>
        <w:t xml:space="preserve"> utilizes the National Association of College and University Business Officers (NACUBO) guidelines for calculating the allocation of the scholarship discounts to tuition and fees revenues and auxiliary service revenues, which is based on an analysis of individual student account charges and financial aid payments from the student management information system</w:t>
      </w:r>
      <w:r w:rsidR="00227168" w:rsidRPr="00450E53">
        <w:rPr>
          <w:rFonts w:ascii="Aptos" w:eastAsia="Times New Roman" w:hAnsi="Aptos" w:cs="Arial"/>
        </w:rPr>
        <w:t>.</w:t>
      </w:r>
    </w:p>
    <w:p w14:paraId="48FB2B9C" w14:textId="4886A9E2" w:rsidR="00D872BE" w:rsidRPr="007F2C11" w:rsidRDefault="009D62EA" w:rsidP="00D872BE">
      <w:pPr>
        <w:spacing w:after="240" w:line="240" w:lineRule="auto"/>
        <w:ind w:left="360" w:hanging="360"/>
        <w:jc w:val="both"/>
        <w:rPr>
          <w:rFonts w:ascii="Aptos" w:eastAsia="Times New Roman" w:hAnsi="Aptos" w:cs="Arial"/>
          <w:highlight w:val="yellow"/>
        </w:rPr>
      </w:pPr>
      <w:r w:rsidRPr="00F346C5">
        <w:rPr>
          <w:rFonts w:ascii="Aptos" w:eastAsia="Times New Roman" w:hAnsi="Aptos" w:cs="Arial"/>
          <w:b/>
        </w:rPr>
        <w:t>P.</w:t>
      </w:r>
      <w:r w:rsidRPr="00F346C5">
        <w:rPr>
          <w:rFonts w:ascii="Aptos" w:eastAsia="Times New Roman" w:hAnsi="Aptos" w:cs="Arial"/>
          <w:b/>
        </w:rPr>
        <w:tab/>
        <w:t xml:space="preserve">Revenue and Expense Recognition </w:t>
      </w:r>
      <w:r w:rsidRPr="00F346C5">
        <w:rPr>
          <w:rFonts w:ascii="Aptos" w:eastAsia="Times New Roman" w:hAnsi="Aptos" w:cs="Arial"/>
        </w:rPr>
        <w:t>-</w:t>
      </w:r>
      <w:r w:rsidRPr="00F346C5">
        <w:rPr>
          <w:rFonts w:ascii="Aptos" w:eastAsia="Times New Roman" w:hAnsi="Aptos" w:cs="Arial"/>
          <w:b/>
        </w:rPr>
        <w:t xml:space="preserve"> </w:t>
      </w:r>
      <w:r w:rsidR="00D872BE" w:rsidRPr="007F2C11">
        <w:rPr>
          <w:rFonts w:ascii="Aptos" w:eastAsia="Times New Roman" w:hAnsi="Aptos" w:cs="Arial"/>
          <w:bCs/>
          <w:highlight w:val="yellow"/>
        </w:rPr>
        <w:t xml:space="preserve">The </w:t>
      </w:r>
      <w:r w:rsidR="00D872BE">
        <w:rPr>
          <w:rFonts w:ascii="Aptos" w:eastAsia="Times New Roman" w:hAnsi="Aptos" w:cs="Arial"/>
          <w:bCs/>
          <w:highlight w:val="yellow"/>
        </w:rPr>
        <w:t>College</w:t>
      </w:r>
      <w:r w:rsidR="00D872BE" w:rsidRPr="007F2C11">
        <w:rPr>
          <w:rFonts w:ascii="Aptos" w:eastAsia="Times New Roman" w:hAnsi="Aptos" w:cs="Arial"/>
          <w:bCs/>
          <w:highlight w:val="yellow"/>
        </w:rPr>
        <w:t xml:space="preserve"> distinguishes operating revenues and expenses from noncapital subsidies, and other nonoperating revenues and expenses in the accompanying Statement of Revenues, Expenses, and Changes in Net </w:t>
      </w:r>
      <w:r w:rsidR="00D872BE" w:rsidRPr="007F2C11">
        <w:rPr>
          <w:rFonts w:ascii="Aptos" w:eastAsia="Times New Roman" w:hAnsi="Aptos" w:cs="Arial"/>
          <w:highlight w:val="yellow"/>
        </w:rPr>
        <w:t>Position</w:t>
      </w:r>
      <w:r w:rsidR="00D872BE" w:rsidRPr="007F2C11">
        <w:rPr>
          <w:rFonts w:ascii="Aptos" w:eastAsia="Times New Roman" w:hAnsi="Aptos" w:cs="Arial"/>
          <w:bCs/>
          <w:highlight w:val="yellow"/>
        </w:rPr>
        <w:t xml:space="preserve">. As defined by GASB 103, </w:t>
      </w:r>
      <w:r w:rsidR="00D872BE" w:rsidRPr="007F2C11">
        <w:rPr>
          <w:rFonts w:ascii="Aptos" w:eastAsia="Times New Roman" w:hAnsi="Aptos" w:cs="Arial"/>
          <w:bCs/>
          <w:i/>
          <w:iCs/>
          <w:highlight w:val="yellow"/>
        </w:rPr>
        <w:t>Financial Reporting Model Improvements</w:t>
      </w:r>
      <w:r w:rsidR="00D872BE" w:rsidRPr="007F2C11">
        <w:rPr>
          <w:rFonts w:ascii="Aptos" w:eastAsia="Times New Roman" w:hAnsi="Aptos" w:cs="Arial"/>
          <w:bCs/>
          <w:highlight w:val="yellow"/>
        </w:rPr>
        <w:t>, n</w:t>
      </w:r>
      <w:r w:rsidR="00D872BE" w:rsidRPr="007F2C11">
        <w:rPr>
          <w:rFonts w:ascii="Aptos" w:eastAsia="Times New Roman" w:hAnsi="Aptos" w:cs="Arial"/>
          <w:highlight w:val="yellow"/>
        </w:rPr>
        <w:t xml:space="preserve">onoperating revenues and expenses include: (1) subsidies received and provided, (2) contributions to permanent and </w:t>
      </w:r>
      <w:r w:rsidR="00D872BE" w:rsidRPr="007F2C11">
        <w:rPr>
          <w:rFonts w:ascii="Aptos" w:eastAsia="Times New Roman" w:hAnsi="Aptos" w:cs="Arial"/>
          <w:highlight w:val="yellow"/>
        </w:rPr>
        <w:lastRenderedPageBreak/>
        <w:t xml:space="preserve">term endowments, (3) revenues (expenses) related to financing, (4) resources (loss) from the disposal of capital assets, and (5) investment income and expenses. </w:t>
      </w:r>
    </w:p>
    <w:p w14:paraId="66C4EAF8" w14:textId="77777777" w:rsidR="00D872BE" w:rsidRPr="007F2C11" w:rsidRDefault="00D872BE" w:rsidP="00D872BE">
      <w:pPr>
        <w:spacing w:after="240" w:line="240" w:lineRule="auto"/>
        <w:ind w:left="360"/>
        <w:jc w:val="both"/>
        <w:rPr>
          <w:rFonts w:ascii="Aptos" w:eastAsia="Times New Roman" w:hAnsi="Aptos" w:cs="Arial"/>
          <w:highlight w:val="yellow"/>
        </w:rPr>
      </w:pPr>
      <w:r w:rsidRPr="007F2C11">
        <w:rPr>
          <w:rFonts w:ascii="Aptos" w:eastAsia="Times New Roman" w:hAnsi="Aptos" w:cs="Arial"/>
          <w:highlight w:val="yellow"/>
        </w:rPr>
        <w:t xml:space="preserve">Subsidies are defined as follows: (a) resources received from another party or fund (1) for which the proprietary fund does not provide goods and services to the other party or fund and (2) that directly or indirectly keep the proprietary fund’s current or future fees and charges lower than they would be otherwise; and (b) resources provided to another party or fund (1) for which the other party or fund does not provide goods and services to the proprietary fund and (2) that are recoverable through the proprietary fund’s current or future pricing policies. </w:t>
      </w:r>
    </w:p>
    <w:p w14:paraId="2B770A21" w14:textId="77777777" w:rsidR="00D872BE" w:rsidRPr="00943038" w:rsidRDefault="00D872BE" w:rsidP="00D872BE">
      <w:pPr>
        <w:spacing w:after="240" w:line="240" w:lineRule="auto"/>
        <w:ind w:left="360"/>
        <w:jc w:val="both"/>
        <w:rPr>
          <w:rFonts w:ascii="Aptos" w:eastAsia="Times New Roman" w:hAnsi="Aptos" w:cs="Arial"/>
        </w:rPr>
      </w:pPr>
      <w:r w:rsidRPr="007F2C11">
        <w:rPr>
          <w:rFonts w:ascii="Aptos" w:eastAsia="Times New Roman" w:hAnsi="Aptos" w:cs="Arial"/>
          <w:highlight w:val="yellow"/>
        </w:rPr>
        <w:t>All revenues and expenses that do not meet the definition of nonoperating revenues and expenses are reported as operating revenues and expenses. Student financial aid includes Pell Grants and state need-based scholarships provided to eligible students and recognized as operating revenue.</w:t>
      </w:r>
    </w:p>
    <w:p w14:paraId="78AC4793" w14:textId="77777777" w:rsidR="009D62EA" w:rsidRPr="00F346C5" w:rsidRDefault="009D62EA" w:rsidP="00D872BE">
      <w:pPr>
        <w:spacing w:after="240" w:line="240" w:lineRule="auto"/>
        <w:ind w:left="360" w:hanging="360"/>
        <w:jc w:val="both"/>
        <w:rPr>
          <w:rFonts w:ascii="Aptos" w:eastAsia="Times New Roman" w:hAnsi="Aptos" w:cs="Arial"/>
        </w:rPr>
      </w:pPr>
      <w:bookmarkStart w:id="4" w:name="OLE_LINK4"/>
      <w:bookmarkStart w:id="5" w:name="OLE_LINK5"/>
      <w:r w:rsidRPr="00F346C5">
        <w:rPr>
          <w:rFonts w:ascii="Aptos" w:eastAsia="Times New Roman" w:hAnsi="Aptos" w:cs="Arial"/>
          <w:b/>
        </w:rPr>
        <w:t>Q.</w:t>
      </w:r>
      <w:r w:rsidRPr="00F346C5">
        <w:rPr>
          <w:rFonts w:ascii="Aptos" w:eastAsia="Times New Roman" w:hAnsi="Aptos" w:cs="Arial"/>
          <w:b/>
        </w:rPr>
        <w:tab/>
      </w:r>
      <w:bookmarkEnd w:id="4"/>
      <w:bookmarkEnd w:id="5"/>
      <w:r w:rsidRPr="00F346C5">
        <w:rPr>
          <w:rFonts w:ascii="Aptos" w:eastAsia="Times New Roman" w:hAnsi="Aptos" w:cs="Arial"/>
          <w:b/>
        </w:rPr>
        <w:t xml:space="preserve">Internal Sales Activities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bCs/>
        </w:rPr>
        <w:t xml:space="preserve">Certain institutional auxiliary operations provide goods and services to College departments, as well as to its customers. These institutional auxiliary operations include activities such as </w:t>
      </w:r>
      <w:r w:rsidRPr="00F346C5">
        <w:rPr>
          <w:rFonts w:ascii="Aptos" w:eastAsia="Times New Roman" w:hAnsi="Aptos" w:cs="Arial"/>
          <w:b/>
          <w:iCs/>
          <w:color w:val="0000FF"/>
        </w:rPr>
        <w:t xml:space="preserve">[central stores, copy centers, motor pool, postal services, telecommunications - </w:t>
      </w:r>
      <w:r w:rsidRPr="00F346C5">
        <w:rPr>
          <w:rFonts w:ascii="Aptos" w:eastAsia="Times New Roman" w:hAnsi="Aptos" w:cs="Arial"/>
          <w:b/>
          <w:i/>
          <w:iCs/>
          <w:color w:val="0000FF"/>
        </w:rPr>
        <w:t>Modify as necessary</w:t>
      </w:r>
      <w:r w:rsidRPr="00F346C5">
        <w:rPr>
          <w:rFonts w:ascii="Aptos" w:eastAsia="Times New Roman" w:hAnsi="Aptos" w:cs="Arial"/>
          <w:b/>
          <w:iCs/>
          <w:color w:val="0000FF"/>
        </w:rPr>
        <w:t>]</w:t>
      </w:r>
      <w:r w:rsidRPr="00F346C5">
        <w:rPr>
          <w:rFonts w:ascii="Aptos" w:eastAsia="Times New Roman" w:hAnsi="Aptos" w:cs="Arial"/>
          <w:iCs/>
          <w:color w:val="000000"/>
        </w:rPr>
        <w:t>.</w:t>
      </w:r>
      <w:r w:rsidRPr="00F346C5">
        <w:rPr>
          <w:rFonts w:ascii="Aptos" w:eastAsia="Times New Roman" w:hAnsi="Aptos" w:cs="Arial"/>
          <w:bCs/>
        </w:rPr>
        <w:t xml:space="preserve"> In addition, the College has other miscellaneous sales and service units that operated either on a reimbursement or charge basis. All internal sales activities to College departments from auxiliary operations and sales and service units have been eliminated in the accompanying financial statements. These eliminations are recorded by removing the revenue and expense in the auxiliary operations and sales and service units and, if significant, allocating any residual balances to those departments receiving the goods and services during the year.</w:t>
      </w:r>
    </w:p>
    <w:p w14:paraId="0442C053" w14:textId="77777777" w:rsidR="009D62EA" w:rsidRPr="00F346C5" w:rsidRDefault="009D62EA" w:rsidP="009D62EA">
      <w:pPr>
        <w:spacing w:after="240" w:line="240" w:lineRule="auto"/>
        <w:ind w:left="360" w:hanging="360"/>
        <w:jc w:val="both"/>
        <w:rPr>
          <w:rFonts w:ascii="Aptos" w:eastAsia="Times New Roman" w:hAnsi="Aptos" w:cs="Arial"/>
          <w:b/>
          <w:i/>
          <w:color w:val="0000FF"/>
        </w:rPr>
      </w:pPr>
      <w:r w:rsidRPr="00F346C5">
        <w:rPr>
          <w:rFonts w:ascii="Aptos" w:eastAsia="Times New Roman" w:hAnsi="Aptos" w:cs="Arial"/>
          <w:b/>
        </w:rPr>
        <w:t>R.</w:t>
      </w:r>
      <w:r w:rsidRPr="00F346C5">
        <w:rPr>
          <w:rFonts w:ascii="Aptos" w:eastAsia="Times New Roman" w:hAnsi="Aptos" w:cs="Arial"/>
          <w:b/>
        </w:rPr>
        <w:tab/>
        <w:t xml:space="preserve">County Appropriations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rPr>
        <w:t xml:space="preserve">County appropriations are provided to the College primarily to fund its plant operation and maintenance function and to fund construction projects, motor vehicle purchases, and maintenance of equipment. Unexpended county current appropriations and county capital appropriations do not revert and are available for future use </w:t>
      </w:r>
      <w:r w:rsidRPr="00F346C5">
        <w:rPr>
          <w:rFonts w:ascii="Aptos" w:eastAsia="Times New Roman" w:hAnsi="Aptos" w:cs="Arial"/>
          <w:i/>
          <w:color w:val="0000FF"/>
        </w:rPr>
        <w:t xml:space="preserve">[by the College </w:t>
      </w:r>
      <w:r w:rsidRPr="00F346C5">
        <w:rPr>
          <w:rFonts w:ascii="Aptos" w:eastAsia="Times New Roman" w:hAnsi="Aptos" w:cs="Arial"/>
          <w:b/>
          <w:i/>
          <w:color w:val="0000FF"/>
        </w:rPr>
        <w:t>or</w:t>
      </w:r>
      <w:r w:rsidRPr="00F346C5">
        <w:rPr>
          <w:rFonts w:ascii="Aptos" w:eastAsia="Times New Roman" w:hAnsi="Aptos" w:cs="Arial"/>
          <w:i/>
          <w:color w:val="0000FF"/>
        </w:rPr>
        <w:t xml:space="preserve"> as approved by the county commissioners]</w:t>
      </w:r>
      <w:r w:rsidRPr="00F346C5">
        <w:rPr>
          <w:rFonts w:ascii="Aptos" w:eastAsia="Times New Roman" w:hAnsi="Aptos" w:cs="Arial"/>
        </w:rPr>
        <w:t xml:space="preserve">. </w:t>
      </w:r>
      <w:r w:rsidRPr="00F346C5">
        <w:rPr>
          <w:rFonts w:ascii="Aptos" w:eastAsia="Times New Roman" w:hAnsi="Aptos" w:cs="Arial"/>
          <w:b/>
          <w:i/>
          <w:color w:val="0000FF"/>
        </w:rPr>
        <w:t>[Modify as necessary]</w:t>
      </w:r>
    </w:p>
    <w:p w14:paraId="0FD8F59D" w14:textId="2975D539" w:rsidR="009D62EA" w:rsidRPr="00F346C5" w:rsidRDefault="009D62EA"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r w:rsidRPr="00F346C5">
        <w:rPr>
          <w:rFonts w:ascii="Aptos" w:eastAsia="Times New Roman" w:hAnsi="Aptos" w:cs="Times New Roman"/>
          <w:b/>
          <w:kern w:val="28"/>
        </w:rPr>
        <w:t>Note 2</w:t>
      </w:r>
      <w:r w:rsidRPr="00F346C5">
        <w:rPr>
          <w:rFonts w:ascii="Aptos" w:eastAsia="Times New Roman" w:hAnsi="Aptos" w:cs="Times New Roman"/>
          <w:b/>
          <w:kern w:val="28"/>
        </w:rPr>
        <w:tab/>
        <w:t>-</w:t>
      </w:r>
      <w:r w:rsidRPr="00F346C5">
        <w:rPr>
          <w:rFonts w:ascii="Aptos" w:eastAsia="Times New Roman" w:hAnsi="Aptos" w:cs="Times New Roman"/>
          <w:b/>
          <w:kern w:val="28"/>
        </w:rPr>
        <w:tab/>
        <w:t xml:space="preserve">Deposits and Investments </w:t>
      </w:r>
    </w:p>
    <w:p w14:paraId="14D772B3" w14:textId="28580975" w:rsidR="006E7F21" w:rsidRPr="00F346C5" w:rsidRDefault="006E7F21" w:rsidP="006E7F21">
      <w:pPr>
        <w:spacing w:after="240" w:line="240" w:lineRule="auto"/>
        <w:jc w:val="center"/>
        <w:rPr>
          <w:rFonts w:ascii="Aptos" w:eastAsia="Times New Roman" w:hAnsi="Aptos" w:cs="Arial"/>
          <w:b/>
        </w:rPr>
      </w:pPr>
      <w:r w:rsidRPr="00F346C5">
        <w:rPr>
          <w:rFonts w:ascii="Aptos" w:eastAsia="Times New Roman" w:hAnsi="Aptos" w:cs="Arial"/>
          <w:b/>
          <w:color w:val="0000FF"/>
        </w:rPr>
        <w:t>[For use by Colleges when All their investments are in STIF]</w:t>
      </w:r>
    </w:p>
    <w:p w14:paraId="11534A20" w14:textId="73A55D87" w:rsidR="009D62EA" w:rsidRPr="00F346C5" w:rsidRDefault="009D62EA" w:rsidP="009D62EA">
      <w:pPr>
        <w:spacing w:after="240" w:line="240" w:lineRule="auto"/>
        <w:jc w:val="both"/>
        <w:rPr>
          <w:rFonts w:ascii="Aptos" w:eastAsia="Times New Roman" w:hAnsi="Aptos" w:cs="Arial"/>
        </w:rPr>
      </w:pPr>
      <w:r w:rsidRPr="00F346C5">
        <w:rPr>
          <w:rFonts w:ascii="Aptos" w:eastAsia="Times New Roman" w:hAnsi="Aptos" w:cs="Arial"/>
          <w:b/>
        </w:rPr>
        <w:t xml:space="preserve">College </w:t>
      </w:r>
      <w:r w:rsidRPr="00F346C5">
        <w:rPr>
          <w:rFonts w:ascii="Aptos" w:eastAsia="Times New Roman" w:hAnsi="Aptos" w:cs="Arial"/>
        </w:rPr>
        <w:t>-</w:t>
      </w:r>
      <w:r w:rsidRPr="00F346C5">
        <w:rPr>
          <w:rFonts w:ascii="Aptos" w:eastAsia="Times New Roman" w:hAnsi="Aptos" w:cs="Arial"/>
          <w:i/>
        </w:rPr>
        <w:t xml:space="preserve"> </w:t>
      </w:r>
      <w:r w:rsidRPr="00F346C5">
        <w:rPr>
          <w:rFonts w:ascii="Aptos" w:eastAsia="Times New Roman" w:hAnsi="Aptos" w:cs="Arial"/>
        </w:rPr>
        <w:t xml:space="preserve">The College is required by </w:t>
      </w:r>
      <w:r w:rsidR="003E5E41" w:rsidRPr="0052436F">
        <w:rPr>
          <w:rFonts w:ascii="Aptos" w:eastAsia="Times New Roman" w:hAnsi="Aptos" w:cs="Arial"/>
          <w:highlight w:val="yellow"/>
        </w:rPr>
        <w:t>N.C.G.</w:t>
      </w:r>
      <w:r w:rsidR="003E5E41" w:rsidRPr="001423D7">
        <w:rPr>
          <w:rFonts w:ascii="Aptos" w:eastAsia="Times New Roman" w:hAnsi="Aptos" w:cs="Arial"/>
          <w:highlight w:val="yellow"/>
        </w:rPr>
        <w:t>S. §</w:t>
      </w:r>
      <w:r w:rsidRPr="00F346C5">
        <w:rPr>
          <w:rFonts w:ascii="Aptos" w:eastAsia="Times New Roman" w:hAnsi="Aptos" w:cs="Arial"/>
        </w:rPr>
        <w:t>147</w:t>
      </w:r>
      <w:r w:rsidRPr="00F346C5">
        <w:rPr>
          <w:rFonts w:ascii="Aptos" w:eastAsia="Times New Roman" w:hAnsi="Aptos" w:cs="Arial"/>
        </w:rPr>
        <w:noBreakHyphen/>
        <w:t xml:space="preserve">77 to deposit any funds collected or received that belong to the State of North Carolina with the State Treasurer or with a depository institution in the name of the State Treasurer. All funds of the College, other than those required to be deposited with the State Treasurer, are deposited in board-designated official depositories and are required to be collateralized in accordance with </w:t>
      </w:r>
      <w:r w:rsidR="00626025" w:rsidRPr="0052436F">
        <w:rPr>
          <w:rFonts w:ascii="Aptos" w:eastAsia="Times New Roman" w:hAnsi="Aptos" w:cs="Arial"/>
          <w:highlight w:val="yellow"/>
        </w:rPr>
        <w:t>N.C.G.</w:t>
      </w:r>
      <w:r w:rsidR="00626025" w:rsidRPr="001423D7">
        <w:rPr>
          <w:rFonts w:ascii="Aptos" w:eastAsia="Times New Roman" w:hAnsi="Aptos" w:cs="Arial"/>
          <w:highlight w:val="yellow"/>
        </w:rPr>
        <w:t>S. §</w:t>
      </w:r>
      <w:r w:rsidRPr="00F346C5">
        <w:rPr>
          <w:rFonts w:ascii="Aptos" w:eastAsia="Times New Roman" w:hAnsi="Aptos" w:cs="Arial"/>
        </w:rPr>
        <w:t>115D-58.7. Official depositories may be established with any bank, savings and loan association, or trust company whose principal office is located in North Carolina. Also, the College may establish time deposit accounts, money market accounts, and certificates of deposit. The amount shown on the Statement of Net Position as cash and cash equivalents includes cash on hand totaling $_________, and deposits in private financial institutions with a carrying value of $_________ and a bank balance of $_________.</w:t>
      </w:r>
    </w:p>
    <w:p w14:paraId="434F690B" w14:textId="77777777" w:rsidR="009D62EA" w:rsidRPr="00F346C5" w:rsidRDefault="009D62EA" w:rsidP="009D62EA">
      <w:pPr>
        <w:spacing w:after="240" w:line="240" w:lineRule="auto"/>
        <w:jc w:val="both"/>
        <w:rPr>
          <w:rFonts w:ascii="Aptos" w:eastAsia="Times New Roman" w:hAnsi="Aptos" w:cs="Arial"/>
        </w:rPr>
      </w:pPr>
      <w:r w:rsidRPr="00F346C5">
        <w:rPr>
          <w:rFonts w:ascii="Aptos" w:eastAsia="Times New Roman" w:hAnsi="Aptos" w:cs="Arial"/>
        </w:rPr>
        <w:lastRenderedPageBreak/>
        <w:t>The North Carolina Administrative Code (20 NCAC 7) requires all depositories to collateralize public deposits in excess of federal depository insurance coverage by using one of two methods, dedicated or pooled. Under the dedicated method, a separate escrow account is established by each depository in the name of each local governmental unit and the responsibility of monitoring collateralization rests with the local unit. Under the pooling method, each depository establishes an escrow account in the name of the State Treasurer to secure all of its public deposits. This method shifts the monitoring responsibility from the local unit to the State Treasurer.</w:t>
      </w:r>
    </w:p>
    <w:p w14:paraId="587DA668" w14:textId="2A02018D" w:rsidR="009D62EA" w:rsidRPr="00F346C5" w:rsidRDefault="009D62EA" w:rsidP="009D62EA">
      <w:pPr>
        <w:spacing w:after="240" w:line="240" w:lineRule="auto"/>
        <w:jc w:val="both"/>
        <w:rPr>
          <w:rFonts w:ascii="Aptos" w:eastAsia="Times New Roman" w:hAnsi="Aptos" w:cs="Arial"/>
        </w:rPr>
      </w:pPr>
      <w:r w:rsidRPr="00F346C5">
        <w:rPr>
          <w:rFonts w:ascii="Aptos" w:eastAsia="Times New Roman" w:hAnsi="Aptos" w:cs="Arial"/>
        </w:rPr>
        <w:t xml:space="preserve">Custodial credit risk is the risk that in the event of a bank failure, the College’s deposits may not be returned to it. As of </w:t>
      </w:r>
      <w:r w:rsidR="00D001EB" w:rsidRPr="00F346C5">
        <w:rPr>
          <w:rFonts w:ascii="Aptos" w:eastAsia="Times New Roman" w:hAnsi="Aptos" w:cs="Arial"/>
        </w:rPr>
        <w:t xml:space="preserve">June 30, </w:t>
      </w:r>
      <w:r w:rsidR="00D001EB" w:rsidRPr="0019002A">
        <w:rPr>
          <w:rFonts w:ascii="Aptos" w:eastAsia="Times New Roman" w:hAnsi="Aptos" w:cs="Arial"/>
        </w:rPr>
        <w:t>202</w:t>
      </w:r>
      <w:r w:rsidR="00A00EBA" w:rsidRPr="0019002A">
        <w:rPr>
          <w:rFonts w:ascii="Aptos" w:eastAsia="Times New Roman" w:hAnsi="Aptos" w:cs="Arial"/>
        </w:rPr>
        <w:t>6</w:t>
      </w:r>
      <w:r w:rsidRPr="00F346C5">
        <w:rPr>
          <w:rFonts w:ascii="Aptos" w:eastAsia="Times New Roman" w:hAnsi="Aptos" w:cs="Arial"/>
        </w:rPr>
        <w:t xml:space="preserve">, the College’s bank balance in excess of federal depository insurance coverage was covered under </w:t>
      </w:r>
      <w:r w:rsidR="00387977" w:rsidRPr="00F346C5">
        <w:rPr>
          <w:rFonts w:ascii="Aptos" w:eastAsia="Times New Roman" w:hAnsi="Aptos" w:cs="Arial"/>
          <w:b/>
          <w:bCs/>
          <w:i/>
          <w:iCs/>
          <w:color w:val="0000FF"/>
        </w:rPr>
        <w:t>[</w:t>
      </w:r>
      <w:r w:rsidRPr="00F346C5">
        <w:rPr>
          <w:rFonts w:ascii="Aptos" w:eastAsia="Times New Roman" w:hAnsi="Aptos" w:cs="Arial"/>
          <w:b/>
          <w:bCs/>
          <w:i/>
          <w:iCs/>
          <w:color w:val="0000FF"/>
        </w:rPr>
        <w:t>choose one</w:t>
      </w:r>
      <w:r w:rsidR="00387977" w:rsidRPr="00F346C5">
        <w:rPr>
          <w:rFonts w:ascii="Aptos" w:eastAsia="Times New Roman" w:hAnsi="Aptos" w:cs="Arial"/>
          <w:b/>
          <w:bCs/>
          <w:i/>
          <w:iCs/>
          <w:color w:val="0000FF"/>
        </w:rPr>
        <w:t>]</w:t>
      </w:r>
      <w:r w:rsidRPr="00F346C5">
        <w:rPr>
          <w:rFonts w:ascii="Aptos" w:eastAsia="Times New Roman" w:hAnsi="Aptos" w:cs="Arial"/>
          <w:b/>
          <w:i/>
          <w:color w:val="0000FF"/>
        </w:rPr>
        <w:t xml:space="preserve"> </w:t>
      </w:r>
      <w:r w:rsidRPr="00F346C5">
        <w:rPr>
          <w:rFonts w:ascii="Aptos" w:eastAsia="Times New Roman" w:hAnsi="Aptos" w:cs="Arial"/>
        </w:rPr>
        <w:t xml:space="preserve">the </w:t>
      </w:r>
      <w:r w:rsidRPr="00F346C5">
        <w:rPr>
          <w:rFonts w:ascii="Aptos" w:eastAsia="Times New Roman" w:hAnsi="Aptos" w:cs="Arial"/>
          <w:b/>
          <w:iCs/>
          <w:color w:val="0000FF"/>
        </w:rPr>
        <w:t>pooling/dedicated</w:t>
      </w:r>
      <w:r w:rsidRPr="00F346C5">
        <w:rPr>
          <w:rFonts w:ascii="Aptos" w:eastAsia="Times New Roman" w:hAnsi="Aptos" w:cs="Arial"/>
          <w:b/>
          <w:i/>
          <w:color w:val="0000FF"/>
        </w:rPr>
        <w:t xml:space="preserve"> </w:t>
      </w:r>
      <w:r w:rsidRPr="00F346C5">
        <w:rPr>
          <w:rFonts w:ascii="Aptos" w:eastAsia="Times New Roman" w:hAnsi="Aptos" w:cs="Arial"/>
        </w:rPr>
        <w:t>method.</w:t>
      </w:r>
    </w:p>
    <w:p w14:paraId="6765D4B2" w14:textId="2A023B4A" w:rsidR="009D62EA" w:rsidRPr="00F346C5" w:rsidRDefault="009D62EA" w:rsidP="009D62EA">
      <w:pPr>
        <w:spacing w:after="240" w:line="240" w:lineRule="auto"/>
        <w:jc w:val="both"/>
        <w:rPr>
          <w:rFonts w:ascii="Aptos" w:eastAsia="Times New Roman" w:hAnsi="Aptos" w:cs="Arial"/>
        </w:rPr>
      </w:pPr>
      <w:r w:rsidRPr="00F346C5">
        <w:rPr>
          <w:rFonts w:ascii="Aptos" w:eastAsia="Times New Roman" w:hAnsi="Aptos" w:cs="Arial"/>
        </w:rPr>
        <w:t xml:space="preserve">The College is authorized to invest idle funds as provided by </w:t>
      </w:r>
      <w:r w:rsidR="0019002A" w:rsidRPr="0052436F">
        <w:rPr>
          <w:rFonts w:ascii="Aptos" w:eastAsia="Times New Roman" w:hAnsi="Aptos" w:cs="Arial"/>
          <w:highlight w:val="yellow"/>
        </w:rPr>
        <w:t>N.C.G.</w:t>
      </w:r>
      <w:r w:rsidR="0019002A" w:rsidRPr="001423D7">
        <w:rPr>
          <w:rFonts w:ascii="Aptos" w:eastAsia="Times New Roman" w:hAnsi="Aptos" w:cs="Arial"/>
          <w:highlight w:val="yellow"/>
        </w:rPr>
        <w:t>S. §</w:t>
      </w:r>
      <w:r w:rsidRPr="00F346C5">
        <w:rPr>
          <w:rFonts w:ascii="Aptos" w:eastAsia="Times New Roman" w:hAnsi="Aptos" w:cs="Arial"/>
        </w:rPr>
        <w:t>115D-58.6. In accordance with this statute, the College and the Board of Trustees manage investments to ensure they can be converted into cash when needed.</w:t>
      </w:r>
    </w:p>
    <w:p w14:paraId="489DA69A" w14:textId="23D1203A" w:rsidR="009D62EA" w:rsidRPr="00F346C5" w:rsidRDefault="009D62EA" w:rsidP="009D62EA">
      <w:pPr>
        <w:spacing w:after="240" w:line="240" w:lineRule="auto"/>
        <w:jc w:val="both"/>
        <w:rPr>
          <w:rFonts w:ascii="Aptos" w:eastAsia="Times New Roman" w:hAnsi="Aptos" w:cs="Arial"/>
        </w:rPr>
      </w:pPr>
      <w:r w:rsidRPr="00F346C5">
        <w:rPr>
          <w:rFonts w:ascii="Aptos" w:eastAsia="Times New Roman" w:hAnsi="Aptos" w:cs="Arial"/>
        </w:rPr>
        <w:t xml:space="preserve">Generally, funds belonging to the College may be invested in any form of investment established or managed by certain investment advisors pursuant to </w:t>
      </w:r>
      <w:r w:rsidR="0019002A" w:rsidRPr="0052436F">
        <w:rPr>
          <w:rFonts w:ascii="Aptos" w:eastAsia="Times New Roman" w:hAnsi="Aptos" w:cs="Arial"/>
          <w:highlight w:val="yellow"/>
        </w:rPr>
        <w:t>N.C.G.</w:t>
      </w:r>
      <w:r w:rsidR="0019002A" w:rsidRPr="001423D7">
        <w:rPr>
          <w:rFonts w:ascii="Aptos" w:eastAsia="Times New Roman" w:hAnsi="Aptos" w:cs="Arial"/>
          <w:highlight w:val="yellow"/>
        </w:rPr>
        <w:t>S. §</w:t>
      </w:r>
      <w:r w:rsidRPr="00F346C5">
        <w:rPr>
          <w:rFonts w:ascii="Aptos" w:eastAsia="Times New Roman" w:hAnsi="Aptos" w:cs="Arial"/>
        </w:rPr>
        <w:t xml:space="preserve">115D-58.6(d1) or in the form of investments pursuant to </w:t>
      </w:r>
      <w:r w:rsidR="00C1137E" w:rsidRPr="00C1137E">
        <w:rPr>
          <w:rFonts w:ascii="Aptos" w:eastAsia="Times New Roman" w:hAnsi="Aptos" w:cs="Arial"/>
          <w:highlight w:val="yellow"/>
        </w:rPr>
        <w:t>N.C.</w:t>
      </w:r>
      <w:r w:rsidRPr="00C1137E">
        <w:rPr>
          <w:rFonts w:ascii="Aptos" w:eastAsia="Times New Roman" w:hAnsi="Aptos" w:cs="Arial"/>
          <w:highlight w:val="yellow"/>
        </w:rPr>
        <w:t>G.S.</w:t>
      </w:r>
      <w:r w:rsidR="00C1137E" w:rsidRPr="00C1137E">
        <w:rPr>
          <w:rFonts w:ascii="Aptos" w:eastAsia="Times New Roman" w:hAnsi="Aptos" w:cs="Arial"/>
          <w:highlight w:val="yellow"/>
        </w:rPr>
        <w:t xml:space="preserve"> </w:t>
      </w:r>
      <w:r w:rsidR="00C1137E" w:rsidRPr="00C1137E">
        <w:rPr>
          <w:rFonts w:ascii="Aptos" w:eastAsia="Times New Roman" w:hAnsi="Aptos" w:cs="Arial"/>
          <w:highlight w:val="yellow"/>
        </w:rPr>
        <w:t>§</w:t>
      </w:r>
      <w:r w:rsidRPr="00F346C5">
        <w:rPr>
          <w:rFonts w:ascii="Aptos" w:eastAsia="Times New Roman" w:hAnsi="Aptos" w:cs="Arial"/>
        </w:rPr>
        <w:t xml:space="preserve">159-30(c), as follows: a commingled investment pool established and administered by the State Treasurer pursuant to </w:t>
      </w:r>
      <w:r w:rsidR="0019002A" w:rsidRPr="0052436F">
        <w:rPr>
          <w:rFonts w:ascii="Aptos" w:eastAsia="Times New Roman" w:hAnsi="Aptos" w:cs="Arial"/>
          <w:highlight w:val="yellow"/>
        </w:rPr>
        <w:t>N.C.G.</w:t>
      </w:r>
      <w:r w:rsidR="0019002A" w:rsidRPr="001423D7">
        <w:rPr>
          <w:rFonts w:ascii="Aptos" w:eastAsia="Times New Roman" w:hAnsi="Aptos" w:cs="Arial"/>
          <w:highlight w:val="yellow"/>
        </w:rPr>
        <w:t>S. §</w:t>
      </w:r>
      <w:r w:rsidRPr="00F346C5">
        <w:rPr>
          <w:rFonts w:ascii="Aptos" w:eastAsia="Times New Roman" w:hAnsi="Aptos" w:cs="Arial"/>
        </w:rPr>
        <w:t xml:space="preserve">147-69.3 (STIF); obligations of or fully guaranteed by the United States; obligations of the State of North Carolina; bonds and notes of any North Carolina local government or public authority; obligations of certain nonguaranteed federal agencies; prime quality commercial paper bearing specified </w:t>
      </w:r>
      <w:r w:rsidRPr="00F346C5">
        <w:rPr>
          <w:rFonts w:ascii="Aptos" w:eastAsia="Times New Roman" w:hAnsi="Aptos" w:cs="Arial"/>
          <w:color w:val="000000"/>
        </w:rPr>
        <w:t>ratings</w:t>
      </w:r>
      <w:bookmarkStart w:id="6" w:name="GS159"/>
      <w:r w:rsidRPr="00F346C5">
        <w:rPr>
          <w:rFonts w:ascii="Aptos" w:eastAsia="Times New Roman" w:hAnsi="Aptos" w:cs="Arial"/>
          <w:color w:val="000000"/>
        </w:rPr>
        <w:t>; specified bills of exchange; certain savings certificates;</w:t>
      </w:r>
      <w:bookmarkEnd w:id="6"/>
      <w:r w:rsidRPr="00F346C5">
        <w:rPr>
          <w:rFonts w:ascii="Aptos" w:eastAsia="Times New Roman" w:hAnsi="Aptos" w:cs="Arial"/>
          <w:color w:val="000000"/>
        </w:rPr>
        <w:t xml:space="preserve"> The North Carolina</w:t>
      </w:r>
      <w:r w:rsidRPr="00F346C5">
        <w:rPr>
          <w:rFonts w:ascii="Aptos" w:eastAsia="Times New Roman" w:hAnsi="Aptos" w:cs="Arial"/>
        </w:rPr>
        <w:t xml:space="preserve"> Capital Management Trust, an SEC registered mutual fund; repurchase agreements; and evidences of ownership of, or fractional undivided interests in, future interest and principal payments on either direct obligations of or fully guaranteed by the United States government, which are held by a specified bank or trust company or any state in the capacity of custodian.</w:t>
      </w:r>
    </w:p>
    <w:p w14:paraId="630D3809" w14:textId="0ECA66A6" w:rsidR="009D62EA" w:rsidRPr="00F346C5" w:rsidRDefault="009D62EA" w:rsidP="009D62EA">
      <w:pPr>
        <w:tabs>
          <w:tab w:val="left" w:pos="1350"/>
        </w:tabs>
        <w:spacing w:after="240" w:line="240" w:lineRule="auto"/>
        <w:jc w:val="both"/>
        <w:rPr>
          <w:rFonts w:ascii="Aptos" w:eastAsia="Times New Roman" w:hAnsi="Aptos" w:cs="Arial"/>
          <w:b/>
          <w:i/>
          <w:color w:val="0000FF"/>
        </w:rPr>
      </w:pPr>
      <w:r w:rsidRPr="00F346C5">
        <w:rPr>
          <w:rFonts w:ascii="Aptos" w:eastAsia="Times New Roman" w:hAnsi="Aptos" w:cs="Arial"/>
        </w:rPr>
        <w:t xml:space="preserve">At </w:t>
      </w:r>
      <w:r w:rsidR="00D001EB" w:rsidRPr="00F346C5">
        <w:rPr>
          <w:rFonts w:ascii="Aptos" w:eastAsia="Times New Roman" w:hAnsi="Aptos" w:cs="Arial"/>
        </w:rPr>
        <w:t xml:space="preserve">June 30, </w:t>
      </w:r>
      <w:r w:rsidR="00D001EB" w:rsidRPr="0019002A">
        <w:rPr>
          <w:rFonts w:ascii="Aptos" w:eastAsia="Times New Roman" w:hAnsi="Aptos" w:cs="Arial"/>
        </w:rPr>
        <w:t>202</w:t>
      </w:r>
      <w:r w:rsidR="00A00EBA" w:rsidRPr="0019002A">
        <w:rPr>
          <w:rFonts w:ascii="Aptos" w:eastAsia="Times New Roman" w:hAnsi="Aptos" w:cs="Arial"/>
        </w:rPr>
        <w:t>6</w:t>
      </w:r>
      <w:r w:rsidRPr="00F346C5">
        <w:rPr>
          <w:rFonts w:ascii="Aptos" w:eastAsia="Times New Roman" w:hAnsi="Aptos" w:cs="Arial"/>
        </w:rPr>
        <w:t>, the amount shown on the Statement of Net Position as cash and cash equivalents includes $__________, which represents the College’s equity position in the State Treasurer’s Short</w:t>
      </w:r>
      <w:r w:rsidRPr="00F346C5">
        <w:rPr>
          <w:rFonts w:ascii="Aptos" w:eastAsia="Times New Roman" w:hAnsi="Aptos" w:cs="Arial"/>
        </w:rPr>
        <w:noBreakHyphen/>
        <w:t xml:space="preserve">Term Investment Fund (STIF). The STIF (a portfolio within the State Treasurer’s Investment Pool, an external investment pool that is not registered with the Securities and Exchange Commission or subject to any other regulatory oversight and does not have a credit rating) had a weighted average maturity of </w:t>
      </w:r>
      <w:commentRangeStart w:id="7"/>
      <w:r w:rsidR="00A00EBA" w:rsidRPr="00B531E4">
        <w:rPr>
          <w:rFonts w:ascii="Aptos" w:eastAsia="Times New Roman" w:hAnsi="Aptos" w:cs="Arial"/>
          <w:highlight w:val="yellow"/>
        </w:rPr>
        <w:t>X</w:t>
      </w:r>
      <w:r w:rsidR="00E36653" w:rsidRPr="00B531E4">
        <w:rPr>
          <w:rFonts w:ascii="Aptos" w:eastAsia="Times New Roman" w:hAnsi="Aptos" w:cs="Arial"/>
          <w:highlight w:val="yellow"/>
        </w:rPr>
        <w:t>.</w:t>
      </w:r>
      <w:r w:rsidR="00A00EBA" w:rsidRPr="00B531E4">
        <w:rPr>
          <w:rFonts w:ascii="Aptos" w:eastAsia="Times New Roman" w:hAnsi="Aptos" w:cs="Arial"/>
          <w:highlight w:val="yellow"/>
        </w:rPr>
        <w:t>X</w:t>
      </w:r>
      <w:commentRangeEnd w:id="7"/>
      <w:r w:rsidR="0019002A" w:rsidRPr="00F346C5">
        <w:rPr>
          <w:rStyle w:val="CommentReference"/>
          <w:rFonts w:ascii="Aptos" w:eastAsia="Times New Roman" w:hAnsi="Aptos" w:cs="Arial"/>
          <w:sz w:val="22"/>
          <w:szCs w:val="22"/>
        </w:rPr>
        <w:commentReference w:id="7"/>
      </w:r>
      <w:r w:rsidR="00C57CF7" w:rsidRPr="00F346C5">
        <w:rPr>
          <w:rFonts w:ascii="Aptos" w:eastAsia="Times New Roman" w:hAnsi="Aptos" w:cs="Arial"/>
        </w:rPr>
        <w:t xml:space="preserve"> </w:t>
      </w:r>
      <w:r w:rsidRPr="00F346C5">
        <w:rPr>
          <w:rFonts w:ascii="Aptos" w:eastAsia="Times New Roman" w:hAnsi="Aptos" w:cs="Arial"/>
        </w:rPr>
        <w:t xml:space="preserve">years as of </w:t>
      </w:r>
      <w:r w:rsidR="00D001EB" w:rsidRPr="00F346C5">
        <w:rPr>
          <w:rFonts w:ascii="Aptos" w:eastAsia="Times New Roman" w:hAnsi="Aptos" w:cs="Arial"/>
        </w:rPr>
        <w:t xml:space="preserve">June 30, </w:t>
      </w:r>
      <w:r w:rsidR="00A00EBA" w:rsidRPr="0019002A">
        <w:rPr>
          <w:rFonts w:ascii="Aptos" w:eastAsia="Times New Roman" w:hAnsi="Aptos" w:cs="Arial"/>
        </w:rPr>
        <w:t>2026</w:t>
      </w:r>
      <w:r w:rsidRPr="00F346C5">
        <w:rPr>
          <w:rFonts w:ascii="Aptos" w:eastAsia="Times New Roman" w:hAnsi="Aptos" w:cs="Arial"/>
        </w:rPr>
        <w:t>. Assets and shares of the STIF are valued at fair value. Deposit and investment risks associated with the State Treasurer’s Investment Pool (which includes the State Treasurer’s STIF) are included in the</w:t>
      </w:r>
      <w:r w:rsidRPr="00F346C5">
        <w:rPr>
          <w:rFonts w:ascii="Aptos" w:eastAsia="Times New Roman" w:hAnsi="Aptos" w:cs="Arial"/>
          <w:i/>
        </w:rPr>
        <w:t xml:space="preserve"> </w:t>
      </w:r>
      <w:r w:rsidRPr="00F346C5">
        <w:rPr>
          <w:rFonts w:ascii="Aptos" w:eastAsia="Times New Roman" w:hAnsi="Aptos" w:cs="Arial"/>
        </w:rPr>
        <w:t xml:space="preserve">North Carolina Department of State Treasurer Investment Programs’ separately issued audit report. This separately issued report can be obtained from the Department of State Treasurer, 3200 Atlantic Avenue, Raleigh, NC 27604 or can be accessed from the Department of State Treasurer’s website at </w:t>
      </w:r>
      <w:hyperlink r:id="rId24" w:history="1">
        <w:r w:rsidRPr="00F346C5">
          <w:rPr>
            <w:rStyle w:val="Hyperlink"/>
            <w:rFonts w:ascii="Aptos" w:eastAsia="Times New Roman" w:hAnsi="Aptos" w:cs="Arial"/>
          </w:rPr>
          <w:t>https://www.nctreasurer.com/</w:t>
        </w:r>
      </w:hyperlink>
      <w:r w:rsidRPr="00F346C5">
        <w:rPr>
          <w:rFonts w:ascii="Aptos" w:eastAsia="Times New Roman" w:hAnsi="Aptos" w:cs="Arial"/>
        </w:rPr>
        <w:t xml:space="preserve"> in the Audited Financial Statements section.</w:t>
      </w:r>
    </w:p>
    <w:p w14:paraId="0D2BA629" w14:textId="77777777" w:rsidR="009D62EA" w:rsidRPr="00F346C5" w:rsidRDefault="009D62EA" w:rsidP="009D62EA">
      <w:pPr>
        <w:tabs>
          <w:tab w:val="left" w:pos="1350"/>
        </w:tabs>
        <w:spacing w:after="240" w:line="240" w:lineRule="auto"/>
        <w:jc w:val="both"/>
        <w:rPr>
          <w:rFonts w:ascii="Aptos" w:eastAsia="Times New Roman" w:hAnsi="Aptos" w:cs="Arial"/>
          <w:b/>
          <w:i/>
          <w:color w:val="0000FF"/>
        </w:rPr>
      </w:pPr>
      <w:r w:rsidRPr="00F346C5">
        <w:rPr>
          <w:rFonts w:ascii="Aptos" w:eastAsia="Times New Roman" w:hAnsi="Aptos" w:cs="Arial"/>
          <w:b/>
          <w:i/>
          <w:color w:val="0000FF"/>
        </w:rPr>
        <w:t>[Instructions to preparer, STIF balances applicable to component units within the reporting entity should be reported in the component unit statement of net position. The STIF amount reported on the college statement of net position and in this note will be the STIF balance for the college and any component units not included in the college report.]</w:t>
      </w:r>
    </w:p>
    <w:p w14:paraId="5E923428" w14:textId="77777777" w:rsidR="009D62EA" w:rsidRPr="00F346C5" w:rsidRDefault="009D62EA" w:rsidP="009D62EA">
      <w:pPr>
        <w:spacing w:after="240"/>
        <w:jc w:val="both"/>
        <w:rPr>
          <w:rFonts w:ascii="Aptos" w:hAnsi="Aptos" w:cs="Arial"/>
          <w:b/>
        </w:rPr>
      </w:pPr>
      <w:r w:rsidRPr="00F346C5">
        <w:rPr>
          <w:rFonts w:ascii="Aptos" w:hAnsi="Aptos" w:cs="Arial"/>
          <w:b/>
        </w:rPr>
        <w:lastRenderedPageBreak/>
        <w:t xml:space="preserve">Component Unit(s) </w:t>
      </w:r>
      <w:r w:rsidRPr="00F346C5">
        <w:rPr>
          <w:rFonts w:ascii="Aptos" w:hAnsi="Aptos" w:cs="Arial"/>
        </w:rPr>
        <w:t>-</w:t>
      </w:r>
      <w:r w:rsidRPr="00F346C5">
        <w:rPr>
          <w:rFonts w:ascii="Aptos" w:hAnsi="Aptos" w:cs="Arial"/>
          <w:b/>
        </w:rPr>
        <w:t xml:space="preserve"> </w:t>
      </w:r>
      <w:r w:rsidRPr="00F346C5">
        <w:rPr>
          <w:rFonts w:ascii="Aptos" w:hAnsi="Aptos" w:cs="Arial"/>
          <w:b/>
          <w:i/>
          <w:color w:val="0000FF"/>
        </w:rPr>
        <w:t xml:space="preserve">[Note to preparer: When all of the College’s investments are in the STIF, disclose component unit investments here.] </w:t>
      </w:r>
    </w:p>
    <w:p w14:paraId="29E7C464" w14:textId="77777777" w:rsidR="009D62EA" w:rsidRPr="00F346C5" w:rsidRDefault="009D62EA" w:rsidP="009D62EA">
      <w:pPr>
        <w:tabs>
          <w:tab w:val="left" w:pos="1080"/>
        </w:tabs>
        <w:spacing w:after="240" w:line="240" w:lineRule="auto"/>
        <w:jc w:val="center"/>
        <w:rPr>
          <w:rFonts w:ascii="Aptos" w:eastAsia="Times New Roman" w:hAnsi="Aptos" w:cs="Arial"/>
          <w:b/>
          <w:i/>
          <w:smallCaps/>
          <w:color w:val="0000FF"/>
        </w:rPr>
      </w:pPr>
      <w:r w:rsidRPr="00F346C5">
        <w:rPr>
          <w:rFonts w:ascii="Aptos" w:eastAsia="Times New Roman" w:hAnsi="Aptos" w:cs="Arial"/>
          <w:b/>
          <w:i/>
          <w:smallCaps/>
          <w:color w:val="0000FF"/>
        </w:rPr>
        <w:t>OR</w:t>
      </w:r>
    </w:p>
    <w:p w14:paraId="3B65EC59" w14:textId="588BC0D4" w:rsidR="009D62EA" w:rsidRPr="00F346C5" w:rsidRDefault="009D62EA"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r w:rsidRPr="00F346C5">
        <w:rPr>
          <w:rFonts w:ascii="Aptos" w:eastAsia="Times New Roman" w:hAnsi="Aptos" w:cs="Times New Roman"/>
          <w:b/>
          <w:kern w:val="28"/>
        </w:rPr>
        <w:t>Note 2</w:t>
      </w:r>
      <w:r w:rsidRPr="00F346C5">
        <w:rPr>
          <w:rFonts w:ascii="Aptos" w:eastAsia="Times New Roman" w:hAnsi="Aptos" w:cs="Times New Roman"/>
          <w:b/>
          <w:kern w:val="28"/>
        </w:rPr>
        <w:tab/>
        <w:t>-</w:t>
      </w:r>
      <w:r w:rsidRPr="00F346C5">
        <w:rPr>
          <w:rFonts w:ascii="Aptos" w:eastAsia="Times New Roman" w:hAnsi="Aptos" w:cs="Times New Roman"/>
          <w:b/>
          <w:kern w:val="28"/>
        </w:rPr>
        <w:tab/>
        <w:t xml:space="preserve">Deposits and Investments </w:t>
      </w:r>
    </w:p>
    <w:p w14:paraId="0E7E7025" w14:textId="23A0F49D" w:rsidR="006E7F21" w:rsidRPr="00F346C5" w:rsidRDefault="006E7F21" w:rsidP="006E7F21">
      <w:pPr>
        <w:spacing w:after="240" w:line="240" w:lineRule="auto"/>
        <w:ind w:left="360"/>
        <w:jc w:val="center"/>
        <w:rPr>
          <w:rFonts w:ascii="Aptos" w:eastAsia="Times New Roman" w:hAnsi="Aptos" w:cs="Arial"/>
          <w:color w:val="000000"/>
        </w:rPr>
      </w:pPr>
      <w:r w:rsidRPr="00F346C5">
        <w:rPr>
          <w:rFonts w:ascii="Aptos" w:eastAsia="Times New Roman" w:hAnsi="Aptos" w:cs="Arial"/>
          <w:b/>
          <w:color w:val="0000FF"/>
        </w:rPr>
        <w:t>[For use by Colleges who have their Investments</w:t>
      </w:r>
      <w:bookmarkStart w:id="8" w:name="NoteToPreparer"/>
      <w:r w:rsidRPr="00F346C5">
        <w:rPr>
          <w:rFonts w:ascii="Aptos" w:eastAsia="Times New Roman" w:hAnsi="Aptos" w:cs="Arial"/>
          <w:b/>
          <w:color w:val="0000FF"/>
        </w:rPr>
        <w:t xml:space="preserve"> either entirely or</w:t>
      </w:r>
      <w:bookmarkEnd w:id="8"/>
      <w:r w:rsidRPr="00F346C5">
        <w:rPr>
          <w:rFonts w:ascii="Aptos" w:eastAsia="Times New Roman" w:hAnsi="Aptos" w:cs="Arial"/>
          <w:b/>
          <w:color w:val="0000FF"/>
        </w:rPr>
        <w:t xml:space="preserve"> partially outside STIF]</w:t>
      </w:r>
    </w:p>
    <w:p w14:paraId="5028D8C4" w14:textId="3722BE56" w:rsidR="009D62EA" w:rsidRPr="00F346C5" w:rsidRDefault="009D62EA" w:rsidP="009D62EA">
      <w:pPr>
        <w:numPr>
          <w:ilvl w:val="0"/>
          <w:numId w:val="28"/>
        </w:numPr>
        <w:spacing w:after="240" w:line="240" w:lineRule="auto"/>
        <w:ind w:left="360"/>
        <w:jc w:val="both"/>
        <w:rPr>
          <w:rFonts w:ascii="Aptos" w:eastAsia="Times New Roman" w:hAnsi="Aptos" w:cs="Arial"/>
          <w:color w:val="000000"/>
        </w:rPr>
      </w:pPr>
      <w:r w:rsidRPr="00F346C5">
        <w:rPr>
          <w:rFonts w:ascii="Aptos" w:eastAsia="Times New Roman" w:hAnsi="Aptos" w:cs="Arial"/>
          <w:b/>
        </w:rPr>
        <w:t>Deposits</w:t>
      </w:r>
      <w:r w:rsidRPr="00F346C5">
        <w:rPr>
          <w:rFonts w:ascii="Aptos" w:eastAsia="Times New Roman" w:hAnsi="Aptos" w:cs="Arial"/>
        </w:rPr>
        <w:t xml:space="preserve"> - The College is required by </w:t>
      </w:r>
      <w:r w:rsidR="003818DE" w:rsidRPr="0052436F">
        <w:rPr>
          <w:rFonts w:ascii="Aptos" w:eastAsia="Times New Roman" w:hAnsi="Aptos" w:cs="Arial"/>
          <w:highlight w:val="yellow"/>
        </w:rPr>
        <w:t>N.C.G.</w:t>
      </w:r>
      <w:r w:rsidR="003818DE" w:rsidRPr="001423D7">
        <w:rPr>
          <w:rFonts w:ascii="Aptos" w:eastAsia="Times New Roman" w:hAnsi="Aptos" w:cs="Arial"/>
          <w:highlight w:val="yellow"/>
        </w:rPr>
        <w:t>S. §</w:t>
      </w:r>
      <w:r w:rsidRPr="00F346C5">
        <w:rPr>
          <w:rFonts w:ascii="Aptos" w:eastAsia="Times New Roman" w:hAnsi="Aptos" w:cs="Arial"/>
        </w:rPr>
        <w:t>147</w:t>
      </w:r>
      <w:r w:rsidRPr="00F346C5">
        <w:rPr>
          <w:rFonts w:ascii="Aptos" w:eastAsia="Times New Roman" w:hAnsi="Aptos" w:cs="Arial"/>
        </w:rPr>
        <w:noBreakHyphen/>
        <w:t xml:space="preserve">77 to deposit any funds collected or received that belong to the State of North Carolina with the State Treasurer or with a depository institution in the name of the State Treasurer. All funds of the College, other than those required to be deposited with the State Treasurer, are deposited in board-designated official depositories and are required to be collateralized in accordance with </w:t>
      </w:r>
      <w:r w:rsidR="003818DE" w:rsidRPr="0052436F">
        <w:rPr>
          <w:rFonts w:ascii="Aptos" w:eastAsia="Times New Roman" w:hAnsi="Aptos" w:cs="Arial"/>
          <w:highlight w:val="yellow"/>
        </w:rPr>
        <w:t>N.C.G.</w:t>
      </w:r>
      <w:r w:rsidR="003818DE" w:rsidRPr="001423D7">
        <w:rPr>
          <w:rFonts w:ascii="Aptos" w:eastAsia="Times New Roman" w:hAnsi="Aptos" w:cs="Arial"/>
          <w:highlight w:val="yellow"/>
        </w:rPr>
        <w:t>S. §</w:t>
      </w:r>
      <w:r w:rsidRPr="00F346C5">
        <w:rPr>
          <w:rFonts w:ascii="Aptos" w:eastAsia="Times New Roman" w:hAnsi="Aptos" w:cs="Arial"/>
          <w:i/>
        </w:rPr>
        <w:t xml:space="preserve"> </w:t>
      </w:r>
      <w:r w:rsidRPr="00F346C5">
        <w:rPr>
          <w:rFonts w:ascii="Aptos" w:eastAsia="Times New Roman" w:hAnsi="Aptos" w:cs="Arial"/>
        </w:rPr>
        <w:t>115D-58.7. Official depositories may be established with any bank, savings and loan association, or trust company whose principal office is located in North Carolina. Also, the College may establish time deposit accounts, money market accounts, and certificates of deposit.</w:t>
      </w:r>
      <w:bookmarkStart w:id="9" w:name="CashBalanceChange"/>
      <w:r w:rsidRPr="00F346C5">
        <w:rPr>
          <w:rFonts w:ascii="Aptos" w:eastAsia="Times New Roman" w:hAnsi="Aptos" w:cs="Arial"/>
        </w:rPr>
        <w:t xml:space="preserve"> </w:t>
      </w:r>
      <w:r w:rsidRPr="00F346C5">
        <w:rPr>
          <w:rFonts w:ascii="Aptos" w:eastAsia="Times New Roman" w:hAnsi="Aptos" w:cs="Arial"/>
          <w:color w:val="000000"/>
        </w:rPr>
        <w:t xml:space="preserve">Cash on hand at </w:t>
      </w:r>
      <w:r w:rsidR="00D001EB" w:rsidRPr="00F346C5">
        <w:rPr>
          <w:rFonts w:ascii="Aptos" w:eastAsia="Times New Roman" w:hAnsi="Aptos" w:cs="Arial"/>
          <w:color w:val="000000"/>
        </w:rPr>
        <w:t xml:space="preserve">June 30, </w:t>
      </w:r>
      <w:r w:rsidR="00D001EB" w:rsidRPr="00B531E4">
        <w:rPr>
          <w:rFonts w:ascii="Aptos" w:eastAsia="Times New Roman" w:hAnsi="Aptos" w:cs="Arial"/>
          <w:color w:val="000000"/>
          <w:highlight w:val="yellow"/>
        </w:rPr>
        <w:t>202</w:t>
      </w:r>
      <w:r w:rsidR="003818DE" w:rsidRPr="00B531E4">
        <w:rPr>
          <w:rFonts w:ascii="Aptos" w:eastAsia="Times New Roman" w:hAnsi="Aptos" w:cs="Arial"/>
          <w:color w:val="000000"/>
          <w:highlight w:val="yellow"/>
        </w:rPr>
        <w:t>6</w:t>
      </w:r>
      <w:r w:rsidRPr="00F346C5">
        <w:rPr>
          <w:rFonts w:ascii="Aptos" w:eastAsia="Times New Roman" w:hAnsi="Aptos" w:cs="Arial"/>
          <w:color w:val="000000"/>
        </w:rPr>
        <w:t xml:space="preserve"> was $_________. The carrying amount of the College’s deposits not with the State Treasurer, including certificates of deposit</w:t>
      </w:r>
      <w:r w:rsidRPr="00F346C5">
        <w:rPr>
          <w:rFonts w:ascii="Aptos" w:hAnsi="Aptos" w:cs="Arial"/>
          <w:color w:val="000000"/>
        </w:rPr>
        <w:t xml:space="preserve"> of $________ reported as investments on the Statement of Net Position</w:t>
      </w:r>
      <w:r w:rsidRPr="00F346C5">
        <w:rPr>
          <w:rFonts w:ascii="Aptos" w:eastAsia="Times New Roman" w:hAnsi="Aptos" w:cs="Arial"/>
          <w:color w:val="000000"/>
        </w:rPr>
        <w:t>, was $_________, and the bank balance was $_________.</w:t>
      </w:r>
      <w:bookmarkEnd w:id="9"/>
    </w:p>
    <w:p w14:paraId="4A10A727" w14:textId="77777777"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rPr>
        <w:t>The North Carolina Administrative Code (20 NCAC 7) requires all depositories to collateralize public deposits in excess of federal depository insurance coverage by using one of two methods, dedicated or pooled. Under the dedicated method, a separate escrow account is established by each depository in the name of each local governmental unit and the responsibility of monitoring collateralization rests with the local unit. Under the pooling method, each depository establishes an escrow account in the name of the State Treasurer to secure all of its public deposits. This method shifts the monitoring responsibility from the local unit to the State Treasurer.</w:t>
      </w:r>
    </w:p>
    <w:p w14:paraId="7BE955BC" w14:textId="786C49A4" w:rsidR="009D62EA" w:rsidRPr="00F346C5" w:rsidRDefault="009D62EA" w:rsidP="009D62EA">
      <w:pPr>
        <w:spacing w:after="240" w:line="240" w:lineRule="auto"/>
        <w:ind w:left="360"/>
        <w:jc w:val="both"/>
        <w:rPr>
          <w:rFonts w:ascii="Aptos" w:eastAsia="Times New Roman" w:hAnsi="Aptos" w:cs="Arial"/>
          <w:b/>
          <w:i/>
          <w:color w:val="0000FF"/>
        </w:rPr>
      </w:pPr>
      <w:r w:rsidRPr="00F346C5">
        <w:rPr>
          <w:rFonts w:ascii="Aptos" w:eastAsia="Times New Roman" w:hAnsi="Aptos" w:cs="Arial"/>
        </w:rPr>
        <w:t xml:space="preserve">Custodial credit risk is the risk that in the event of a bank failure, the College’s deposits may not be returned to it. As of </w:t>
      </w:r>
      <w:r w:rsidR="00D001EB" w:rsidRPr="00F346C5">
        <w:rPr>
          <w:rFonts w:ascii="Aptos" w:eastAsia="Times New Roman" w:hAnsi="Aptos" w:cs="Arial"/>
        </w:rPr>
        <w:t xml:space="preserve">June 30, </w:t>
      </w:r>
      <w:r w:rsidR="00D001EB" w:rsidRPr="0019002A">
        <w:rPr>
          <w:rFonts w:ascii="Aptos" w:eastAsia="Times New Roman" w:hAnsi="Aptos" w:cs="Arial"/>
        </w:rPr>
        <w:t>202</w:t>
      </w:r>
      <w:r w:rsidR="0079208C" w:rsidRPr="0019002A">
        <w:rPr>
          <w:rFonts w:ascii="Aptos" w:eastAsia="Times New Roman" w:hAnsi="Aptos" w:cs="Arial"/>
        </w:rPr>
        <w:t>6</w:t>
      </w:r>
      <w:r w:rsidRPr="00F346C5">
        <w:rPr>
          <w:rFonts w:ascii="Aptos" w:eastAsia="Times New Roman" w:hAnsi="Aptos" w:cs="Arial"/>
        </w:rPr>
        <w:t xml:space="preserve">, the College’s bank balance in excess of federal depository insurance coverage was covered under </w:t>
      </w:r>
      <w:r w:rsidRPr="00F346C5">
        <w:rPr>
          <w:rFonts w:ascii="Aptos" w:eastAsia="Times New Roman" w:hAnsi="Aptos" w:cs="Arial"/>
          <w:b/>
          <w:i/>
          <w:color w:val="0000FF"/>
        </w:rPr>
        <w:t xml:space="preserve">choose one </w:t>
      </w:r>
      <w:r w:rsidRPr="00F346C5">
        <w:rPr>
          <w:rFonts w:ascii="Aptos" w:eastAsia="Times New Roman" w:hAnsi="Aptos" w:cs="Arial"/>
        </w:rPr>
        <w:t xml:space="preserve">the </w:t>
      </w:r>
      <w:r w:rsidRPr="00F346C5">
        <w:rPr>
          <w:rFonts w:ascii="Aptos" w:eastAsia="Times New Roman" w:hAnsi="Aptos" w:cs="Arial"/>
          <w:b/>
          <w:i/>
          <w:color w:val="0000FF"/>
        </w:rPr>
        <w:t xml:space="preserve">pooling/ dedicated </w:t>
      </w:r>
      <w:r w:rsidRPr="00F346C5">
        <w:rPr>
          <w:rFonts w:ascii="Aptos" w:eastAsia="Times New Roman" w:hAnsi="Aptos" w:cs="Arial"/>
        </w:rPr>
        <w:t>method.</w:t>
      </w:r>
      <w:r w:rsidRPr="00F346C5">
        <w:rPr>
          <w:rFonts w:ascii="Aptos" w:eastAsia="Times New Roman" w:hAnsi="Aptos" w:cs="Arial"/>
          <w:b/>
          <w:i/>
          <w:color w:val="0000FF"/>
        </w:rPr>
        <w:t xml:space="preserve"> [If using the dedicated method and have uninsured deposits subject to custodial credit risk add the following.] </w:t>
      </w:r>
      <w:r w:rsidRPr="00F346C5">
        <w:rPr>
          <w:rFonts w:ascii="Aptos" w:eastAsia="Times New Roman" w:hAnsi="Aptos" w:cs="Arial"/>
        </w:rPr>
        <w:t xml:space="preserve">As of </w:t>
      </w:r>
      <w:r w:rsidR="00D001EB" w:rsidRPr="00F346C5">
        <w:rPr>
          <w:rFonts w:ascii="Aptos" w:eastAsia="Times New Roman" w:hAnsi="Aptos" w:cs="Arial"/>
        </w:rPr>
        <w:t xml:space="preserve">June 30, </w:t>
      </w:r>
      <w:r w:rsidR="00D001EB" w:rsidRPr="0019002A">
        <w:rPr>
          <w:rFonts w:ascii="Aptos" w:eastAsia="Times New Roman" w:hAnsi="Aptos" w:cs="Arial"/>
        </w:rPr>
        <w:t>202</w:t>
      </w:r>
      <w:r w:rsidR="0079208C" w:rsidRPr="0019002A">
        <w:rPr>
          <w:rFonts w:ascii="Aptos" w:eastAsia="Times New Roman" w:hAnsi="Aptos" w:cs="Arial"/>
        </w:rPr>
        <w:t>6</w:t>
      </w:r>
      <w:r w:rsidRPr="00F346C5">
        <w:rPr>
          <w:rFonts w:ascii="Aptos" w:eastAsia="Times New Roman" w:hAnsi="Aptos" w:cs="Arial"/>
        </w:rPr>
        <w:t xml:space="preserve">, the College’s bank balance was exposed to custodial credit risk as follows: </w:t>
      </w:r>
      <w:r w:rsidRPr="00F346C5">
        <w:rPr>
          <w:rFonts w:ascii="Aptos" w:eastAsia="Times New Roman" w:hAnsi="Aptos" w:cs="Arial"/>
          <w:b/>
          <w:i/>
          <w:color w:val="0000FF"/>
        </w:rPr>
        <w:t>[Modify as necessary.]</w:t>
      </w:r>
    </w:p>
    <w:bookmarkStart w:id="10" w:name="_MON_1559106872"/>
    <w:bookmarkEnd w:id="10"/>
    <w:p w14:paraId="418B13F1" w14:textId="641A7068" w:rsidR="009D62EA" w:rsidRPr="00F346C5" w:rsidRDefault="00A72825" w:rsidP="009D62EA">
      <w:pPr>
        <w:spacing w:after="240" w:line="240" w:lineRule="auto"/>
        <w:ind w:left="360"/>
        <w:jc w:val="center"/>
        <w:rPr>
          <w:rFonts w:ascii="Aptos" w:eastAsia="Times New Roman" w:hAnsi="Aptos" w:cs="Arial"/>
        </w:rPr>
      </w:pPr>
      <w:r w:rsidRPr="00F346C5">
        <w:rPr>
          <w:rFonts w:ascii="Aptos" w:eastAsia="Times New Roman" w:hAnsi="Aptos" w:cs="Arial"/>
        </w:rPr>
        <w:object w:dxaOrig="6804" w:dyaOrig="1582" w14:anchorId="319CBC90">
          <v:shape id="_x0000_i1026" type="#_x0000_t75" style="width:336pt;height:84.75pt" o:ole="">
            <v:imagedata r:id="rId25" o:title=""/>
          </v:shape>
          <o:OLEObject Type="Embed" ProgID="Excel.Sheet.12" ShapeID="_x0000_i1026" DrawAspect="Content" ObjectID="_1843297329" r:id="rId26"/>
        </w:object>
      </w:r>
    </w:p>
    <w:p w14:paraId="0F88EE21" w14:textId="77777777"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b/>
          <w:i/>
          <w:color w:val="0000FF"/>
        </w:rPr>
        <w:lastRenderedPageBreak/>
        <w:t>[Revise the following applicable to the College’s investments and in accordance with other instructions in bold print. Options provided are not all</w:t>
      </w:r>
      <w:r w:rsidRPr="00F346C5">
        <w:rPr>
          <w:rFonts w:ascii="Aptos" w:eastAsia="Times New Roman" w:hAnsi="Aptos" w:cs="Arial"/>
          <w:b/>
          <w:i/>
          <w:color w:val="0000FF"/>
        </w:rPr>
        <w:noBreakHyphen/>
        <w:t>inclusive; therefore, please revise if necessary.]</w:t>
      </w:r>
      <w:r w:rsidRPr="00F346C5">
        <w:rPr>
          <w:rFonts w:ascii="Aptos" w:eastAsia="Times New Roman" w:hAnsi="Aptos" w:cs="Arial"/>
        </w:rPr>
        <w:t xml:space="preserve"> </w:t>
      </w:r>
    </w:p>
    <w:p w14:paraId="132418D8" w14:textId="77777777" w:rsidR="009D62EA" w:rsidRPr="00F346C5" w:rsidRDefault="009D62EA" w:rsidP="009D62EA">
      <w:pPr>
        <w:numPr>
          <w:ilvl w:val="0"/>
          <w:numId w:val="28"/>
        </w:numPr>
        <w:spacing w:after="240" w:line="240" w:lineRule="auto"/>
        <w:ind w:left="360"/>
        <w:jc w:val="both"/>
        <w:rPr>
          <w:rFonts w:ascii="Aptos" w:eastAsia="Times New Roman" w:hAnsi="Aptos" w:cs="Arial"/>
        </w:rPr>
      </w:pPr>
      <w:r w:rsidRPr="00F346C5">
        <w:rPr>
          <w:rFonts w:ascii="Aptos" w:eastAsia="Times New Roman" w:hAnsi="Aptos" w:cs="Arial"/>
          <w:b/>
        </w:rPr>
        <w:t>Investments</w:t>
      </w:r>
      <w:r w:rsidRPr="00F346C5">
        <w:rPr>
          <w:rFonts w:ascii="Aptos" w:eastAsia="Times New Roman" w:hAnsi="Aptos" w:cs="Arial"/>
        </w:rPr>
        <w:t xml:space="preserve"> - </w:t>
      </w:r>
      <w:r w:rsidRPr="00F346C5">
        <w:rPr>
          <w:rFonts w:ascii="Aptos" w:eastAsia="Times New Roman" w:hAnsi="Aptos" w:cs="Arial"/>
          <w:b/>
          <w:i/>
          <w:color w:val="0000FF"/>
        </w:rPr>
        <w:t xml:space="preserve">[If the College has discretely presented component units with material investments not invested with the College </w:t>
      </w:r>
      <w:r w:rsidRPr="00F346C5">
        <w:rPr>
          <w:rFonts w:ascii="Aptos" w:eastAsia="Times New Roman" w:hAnsi="Aptos" w:cs="Arial"/>
          <w:i/>
          <w:color w:val="0000FF"/>
        </w:rPr>
        <w:t>-</w:t>
      </w:r>
      <w:r w:rsidRPr="00F346C5">
        <w:rPr>
          <w:rFonts w:ascii="Aptos" w:eastAsia="Times New Roman" w:hAnsi="Aptos" w:cs="Arial"/>
          <w:b/>
          <w:i/>
          <w:color w:val="0000FF"/>
        </w:rPr>
        <w:t xml:space="preserve"> then additional disclosure is necessary and the College investments note will be one part of the note and the component unit will be another. If not, delete the “College” bold below and make all one note. </w:t>
      </w:r>
      <w:r w:rsidRPr="00F346C5">
        <w:rPr>
          <w:rFonts w:ascii="Aptos" w:hAnsi="Aptos" w:cs="Arial"/>
          <w:b/>
          <w:i/>
          <w:color w:val="0000FF"/>
        </w:rPr>
        <w:t>See GASB Codification Section 150.139.]</w:t>
      </w:r>
    </w:p>
    <w:p w14:paraId="6AD9DA6D" w14:textId="6D521D6C"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b/>
        </w:rPr>
        <w:t xml:space="preserve">College </w:t>
      </w:r>
      <w:r w:rsidRPr="00F346C5">
        <w:rPr>
          <w:rFonts w:ascii="Aptos" w:eastAsia="Times New Roman" w:hAnsi="Aptos" w:cs="Arial"/>
        </w:rPr>
        <w:t>-</w:t>
      </w:r>
      <w:r w:rsidRPr="00F346C5">
        <w:rPr>
          <w:rFonts w:ascii="Aptos" w:eastAsia="Times New Roman" w:hAnsi="Aptos" w:cs="Arial"/>
          <w:i/>
        </w:rPr>
        <w:t xml:space="preserve"> </w:t>
      </w:r>
      <w:r w:rsidRPr="00F346C5">
        <w:rPr>
          <w:rFonts w:ascii="Aptos" w:eastAsia="Times New Roman" w:hAnsi="Aptos" w:cs="Arial"/>
          <w:i/>
          <w:color w:val="0000FF"/>
        </w:rPr>
        <w:t>[In addition to donated securities and real estate held by the College,]</w:t>
      </w:r>
      <w:r w:rsidRPr="00F346C5">
        <w:rPr>
          <w:rFonts w:ascii="Aptos" w:eastAsia="Times New Roman" w:hAnsi="Aptos" w:cs="Arial"/>
          <w:color w:val="0000FF"/>
        </w:rPr>
        <w:t xml:space="preserve"> </w:t>
      </w:r>
      <w:r w:rsidRPr="00F346C5">
        <w:rPr>
          <w:rFonts w:ascii="Aptos" w:eastAsia="Times New Roman" w:hAnsi="Aptos" w:cs="Arial"/>
        </w:rPr>
        <w:t xml:space="preserve">the College is authorized to invest idle funds as provided by </w:t>
      </w:r>
      <w:r w:rsidR="0019002A" w:rsidRPr="0052436F">
        <w:rPr>
          <w:rFonts w:ascii="Aptos" w:eastAsia="Times New Roman" w:hAnsi="Aptos" w:cs="Arial"/>
          <w:highlight w:val="yellow"/>
        </w:rPr>
        <w:t>N.C.G.</w:t>
      </w:r>
      <w:r w:rsidR="0019002A" w:rsidRPr="001423D7">
        <w:rPr>
          <w:rFonts w:ascii="Aptos" w:eastAsia="Times New Roman" w:hAnsi="Aptos" w:cs="Arial"/>
          <w:highlight w:val="yellow"/>
        </w:rPr>
        <w:t>S. §</w:t>
      </w:r>
      <w:r w:rsidRPr="00F346C5">
        <w:rPr>
          <w:rFonts w:ascii="Aptos" w:eastAsia="Times New Roman" w:hAnsi="Aptos" w:cs="Arial"/>
        </w:rPr>
        <w:t>115D-58.6. In accordance with this statute, the College and the Board of Trustees manage investments to ensure they can be converted into cash when needed.</w:t>
      </w:r>
    </w:p>
    <w:p w14:paraId="429D7E22" w14:textId="23C0ADD8"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rPr>
        <w:t xml:space="preserve">Generally, funds belonging to the College may be invested in any form of investment established or managed by certain investment advisors pursuant to </w:t>
      </w:r>
      <w:r w:rsidR="0019002A" w:rsidRPr="0052436F">
        <w:rPr>
          <w:rFonts w:ascii="Aptos" w:eastAsia="Times New Roman" w:hAnsi="Aptos" w:cs="Arial"/>
          <w:highlight w:val="yellow"/>
        </w:rPr>
        <w:t>N.C.G.</w:t>
      </w:r>
      <w:r w:rsidR="0019002A" w:rsidRPr="001423D7">
        <w:rPr>
          <w:rFonts w:ascii="Aptos" w:eastAsia="Times New Roman" w:hAnsi="Aptos" w:cs="Arial"/>
          <w:highlight w:val="yellow"/>
        </w:rPr>
        <w:t>S. §</w:t>
      </w:r>
      <w:r w:rsidRPr="00F346C5">
        <w:rPr>
          <w:rFonts w:ascii="Aptos" w:eastAsia="Times New Roman" w:hAnsi="Aptos" w:cs="Arial"/>
        </w:rPr>
        <w:t xml:space="preserve">115D-58.6(d1) or in the form of investments pursuant to </w:t>
      </w:r>
      <w:r w:rsidR="0019002A" w:rsidRPr="0052436F">
        <w:rPr>
          <w:rFonts w:ascii="Aptos" w:eastAsia="Times New Roman" w:hAnsi="Aptos" w:cs="Arial"/>
          <w:highlight w:val="yellow"/>
        </w:rPr>
        <w:t>N.C.G.</w:t>
      </w:r>
      <w:r w:rsidR="0019002A" w:rsidRPr="001423D7">
        <w:rPr>
          <w:rFonts w:ascii="Aptos" w:eastAsia="Times New Roman" w:hAnsi="Aptos" w:cs="Arial"/>
          <w:highlight w:val="yellow"/>
        </w:rPr>
        <w:t>S. §</w:t>
      </w:r>
      <w:r w:rsidRPr="00F346C5">
        <w:rPr>
          <w:rFonts w:ascii="Aptos" w:eastAsia="Times New Roman" w:hAnsi="Aptos" w:cs="Arial"/>
        </w:rPr>
        <w:t xml:space="preserve">159-30(c), as follows: a commingled investment pool established and administered by the State Treasurer pursuant to </w:t>
      </w:r>
      <w:r w:rsidR="0019002A" w:rsidRPr="0052436F">
        <w:rPr>
          <w:rFonts w:ascii="Aptos" w:eastAsia="Times New Roman" w:hAnsi="Aptos" w:cs="Arial"/>
          <w:highlight w:val="yellow"/>
        </w:rPr>
        <w:t>N.C.G.</w:t>
      </w:r>
      <w:r w:rsidR="0019002A" w:rsidRPr="001423D7">
        <w:rPr>
          <w:rFonts w:ascii="Aptos" w:eastAsia="Times New Roman" w:hAnsi="Aptos" w:cs="Arial"/>
          <w:highlight w:val="yellow"/>
        </w:rPr>
        <w:t>S. §</w:t>
      </w:r>
      <w:r w:rsidRPr="00F346C5">
        <w:rPr>
          <w:rFonts w:ascii="Aptos" w:eastAsia="Times New Roman" w:hAnsi="Aptos" w:cs="Arial"/>
        </w:rPr>
        <w:t xml:space="preserve">147-69.3 (STIF); obligations of or fully guaranteed by the United States; obligations of the State of North Carolina; bonds and notes of any North Carolina local government or public authority; obligations of certain nonguaranteed federal agencies; prime quality commercial paper bearing specified </w:t>
      </w:r>
      <w:r w:rsidRPr="00F346C5">
        <w:rPr>
          <w:rFonts w:ascii="Aptos" w:eastAsia="Times New Roman" w:hAnsi="Aptos" w:cs="Arial"/>
          <w:color w:val="000000"/>
        </w:rPr>
        <w:t>ratings; specified bills of exchange; certain savings certificates; The North Carolina</w:t>
      </w:r>
      <w:r w:rsidRPr="00F346C5">
        <w:rPr>
          <w:rFonts w:ascii="Aptos" w:eastAsia="Times New Roman" w:hAnsi="Aptos" w:cs="Arial"/>
        </w:rPr>
        <w:t xml:space="preserve"> Capital Management Trust, an SEC registered mutual fund; repurchase agreements; and evidences of ownership of, or fractional undivided interests in, future interest and principal payments on either direct obligations of or fully guaranteed by the United States government, which are held by a specified bank or trust company or any state in the capacity </w:t>
      </w:r>
      <w:bookmarkStart w:id="11" w:name="GS"/>
      <w:r w:rsidRPr="00F346C5">
        <w:rPr>
          <w:rFonts w:ascii="Aptos" w:eastAsia="Times New Roman" w:hAnsi="Aptos" w:cs="Arial"/>
        </w:rPr>
        <w:t>of custodian</w:t>
      </w:r>
      <w:bookmarkEnd w:id="11"/>
      <w:r w:rsidRPr="00F346C5">
        <w:rPr>
          <w:rFonts w:ascii="Aptos" w:eastAsia="Times New Roman" w:hAnsi="Aptos" w:cs="Arial"/>
        </w:rPr>
        <w:t>.</w:t>
      </w:r>
    </w:p>
    <w:p w14:paraId="2EFCC5FB" w14:textId="29609410" w:rsidR="009D62EA" w:rsidRPr="00F346C5" w:rsidRDefault="009D62EA" w:rsidP="009D62EA">
      <w:pPr>
        <w:spacing w:after="240" w:line="240" w:lineRule="auto"/>
        <w:ind w:left="360"/>
        <w:jc w:val="both"/>
        <w:rPr>
          <w:rFonts w:ascii="Aptos" w:eastAsia="Times New Roman" w:hAnsi="Aptos" w:cs="Arial"/>
          <w:b/>
          <w:i/>
          <w:color w:val="0000FF"/>
        </w:rPr>
      </w:pPr>
      <w:r w:rsidRPr="00F346C5">
        <w:rPr>
          <w:rFonts w:ascii="Aptos" w:eastAsia="Times New Roman" w:hAnsi="Aptos" w:cs="Arial"/>
        </w:rPr>
        <w:t xml:space="preserve">At </w:t>
      </w:r>
      <w:r w:rsidR="00D001EB" w:rsidRPr="00F346C5">
        <w:rPr>
          <w:rFonts w:ascii="Aptos" w:eastAsia="Times New Roman" w:hAnsi="Aptos" w:cs="Arial"/>
        </w:rPr>
        <w:t xml:space="preserve">June 30, </w:t>
      </w:r>
      <w:r w:rsidR="00D001EB" w:rsidRPr="0019002A">
        <w:rPr>
          <w:rFonts w:ascii="Aptos" w:eastAsia="Times New Roman" w:hAnsi="Aptos" w:cs="Arial"/>
        </w:rPr>
        <w:t>202</w:t>
      </w:r>
      <w:r w:rsidR="00A6043F" w:rsidRPr="0019002A">
        <w:rPr>
          <w:rFonts w:ascii="Aptos" w:eastAsia="Times New Roman" w:hAnsi="Aptos" w:cs="Arial"/>
        </w:rPr>
        <w:t>6</w:t>
      </w:r>
      <w:r w:rsidRPr="00F346C5">
        <w:rPr>
          <w:rFonts w:ascii="Aptos" w:eastAsia="Times New Roman" w:hAnsi="Aptos" w:cs="Arial"/>
        </w:rPr>
        <w:t xml:space="preserve">, the amount shown on the Statement of Net Position as cash and cash equivalents includes $__________, which represents the College’s equity position in the State Treasurer’s Short-Term Investment Fund (STIF). The STIF (a portfolio within the State Treasurer’s Investment Pool, an external investment pool that is not registered with the Securities and Exchange Commission or subject to any other regulatory oversight and does not have a credit rating) had a weighted average maturity of </w:t>
      </w:r>
      <w:commentRangeStart w:id="12"/>
      <w:r w:rsidR="00A6043F" w:rsidRPr="00B531E4">
        <w:rPr>
          <w:rFonts w:ascii="Aptos" w:eastAsia="Times New Roman" w:hAnsi="Aptos" w:cs="Arial"/>
          <w:highlight w:val="yellow"/>
        </w:rPr>
        <w:t>X.X</w:t>
      </w:r>
      <w:r w:rsidR="007843C0" w:rsidRPr="00F346C5">
        <w:rPr>
          <w:rFonts w:ascii="Aptos" w:eastAsia="Times New Roman" w:hAnsi="Aptos" w:cs="Arial"/>
        </w:rPr>
        <w:t xml:space="preserve"> </w:t>
      </w:r>
      <w:commentRangeEnd w:id="12"/>
      <w:r w:rsidR="0019002A" w:rsidRPr="00F346C5">
        <w:rPr>
          <w:rStyle w:val="CommentReference"/>
          <w:rFonts w:ascii="Aptos" w:eastAsia="Times New Roman" w:hAnsi="Aptos" w:cs="Arial"/>
          <w:sz w:val="22"/>
          <w:szCs w:val="22"/>
        </w:rPr>
        <w:commentReference w:id="12"/>
      </w:r>
      <w:r w:rsidRPr="00F346C5">
        <w:rPr>
          <w:rFonts w:ascii="Aptos" w:eastAsia="Times New Roman" w:hAnsi="Aptos" w:cs="Arial"/>
        </w:rPr>
        <w:t>years as of</w:t>
      </w:r>
      <w:r w:rsidR="00A72825" w:rsidRPr="00F346C5">
        <w:rPr>
          <w:rFonts w:ascii="Aptos" w:eastAsia="Times New Roman" w:hAnsi="Aptos" w:cs="Arial"/>
        </w:rPr>
        <w:t xml:space="preserve"> </w:t>
      </w:r>
      <w:r w:rsidR="00D001EB" w:rsidRPr="00F346C5">
        <w:rPr>
          <w:rFonts w:ascii="Aptos" w:eastAsia="Times New Roman" w:hAnsi="Aptos" w:cs="Arial"/>
        </w:rPr>
        <w:t xml:space="preserve">June 30, </w:t>
      </w:r>
      <w:r w:rsidR="00D001EB" w:rsidRPr="0019002A">
        <w:rPr>
          <w:rFonts w:ascii="Aptos" w:eastAsia="Times New Roman" w:hAnsi="Aptos" w:cs="Arial"/>
        </w:rPr>
        <w:t>202</w:t>
      </w:r>
      <w:r w:rsidR="00A6043F" w:rsidRPr="0019002A">
        <w:rPr>
          <w:rFonts w:ascii="Aptos" w:eastAsia="Times New Roman" w:hAnsi="Aptos" w:cs="Arial"/>
        </w:rPr>
        <w:t>6</w:t>
      </w:r>
      <w:r w:rsidRPr="00F346C5">
        <w:rPr>
          <w:rFonts w:ascii="Aptos" w:eastAsia="Times New Roman" w:hAnsi="Aptos" w:cs="Arial"/>
        </w:rPr>
        <w:t xml:space="preserve">. Assets and shares of the STIF are valued at fair value. Deposit and investment risks associated with the State Treasurer’s Investment Pool (which includes the State Treasurer’s STIF) are included in the North Carolina Department of State Treasurer Investment Programs’ separately issued audit report. This separately issued report can be obtained from the Department of State Treasurer, 3200 Atlantic Avenue, Raleigh, NC 27604 or can be accessed from the Department of State Treasurer’s website at </w:t>
      </w:r>
      <w:hyperlink r:id="rId27" w:history="1">
        <w:r w:rsidRPr="00F346C5">
          <w:rPr>
            <w:rStyle w:val="Hyperlink"/>
            <w:rFonts w:ascii="Aptos" w:eastAsia="Times New Roman" w:hAnsi="Aptos" w:cs="Arial"/>
          </w:rPr>
          <w:t>https://www.nctreasurer.com/</w:t>
        </w:r>
      </w:hyperlink>
      <w:r w:rsidRPr="00F346C5">
        <w:rPr>
          <w:rFonts w:ascii="Aptos" w:eastAsia="Times New Roman" w:hAnsi="Aptos" w:cs="Arial"/>
        </w:rPr>
        <w:t xml:space="preserve"> in the Audited Financial Statements section.</w:t>
      </w:r>
    </w:p>
    <w:p w14:paraId="3243E9AE" w14:textId="77777777" w:rsidR="009D62EA" w:rsidRPr="00F346C5" w:rsidRDefault="009D62EA" w:rsidP="009D62EA">
      <w:pPr>
        <w:spacing w:after="240" w:line="240" w:lineRule="auto"/>
        <w:ind w:left="360"/>
        <w:jc w:val="both"/>
        <w:rPr>
          <w:rFonts w:ascii="Aptos" w:eastAsia="Times New Roman" w:hAnsi="Aptos" w:cs="Arial"/>
          <w:b/>
          <w:color w:val="0000FF"/>
        </w:rPr>
      </w:pPr>
      <w:r w:rsidRPr="00F346C5">
        <w:rPr>
          <w:rFonts w:ascii="Aptos" w:eastAsia="Times New Roman" w:hAnsi="Aptos" w:cs="Arial"/>
          <w:b/>
          <w:i/>
          <w:color w:val="0000FF"/>
        </w:rPr>
        <w:t>[Instructions to preparer, STIF balances applicable to component units within the reporting entity should be reported in the component unit statement of net position. The STIF amount reported on the college statement of net position and in this note will be the STIF balance for the college and any component units not included in the college report.]</w:t>
      </w:r>
    </w:p>
    <w:p w14:paraId="7268743A" w14:textId="77777777" w:rsidR="009D62EA" w:rsidRPr="00F346C5" w:rsidRDefault="009D62EA" w:rsidP="009D62EA">
      <w:pPr>
        <w:spacing w:after="240" w:line="240" w:lineRule="auto"/>
        <w:ind w:left="360"/>
        <w:jc w:val="center"/>
        <w:rPr>
          <w:rFonts w:ascii="Aptos" w:eastAsia="Times New Roman" w:hAnsi="Aptos" w:cs="Arial"/>
          <w:b/>
          <w:i/>
          <w:color w:val="0000FF"/>
        </w:rPr>
      </w:pPr>
      <w:r w:rsidRPr="00F346C5">
        <w:rPr>
          <w:rFonts w:ascii="Aptos" w:eastAsia="Times New Roman" w:hAnsi="Aptos" w:cs="Arial"/>
          <w:b/>
          <w:i/>
          <w:color w:val="0000FF"/>
        </w:rPr>
        <w:lastRenderedPageBreak/>
        <w:t>[Add for endowment funds only.]</w:t>
      </w:r>
    </w:p>
    <w:p w14:paraId="2C3FC1DE" w14:textId="791D005A"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rPr>
        <w:t xml:space="preserve">Except as specified by the donor, endowment funds belonging to the College may be invested pursuant to </w:t>
      </w:r>
      <w:r w:rsidR="0019002A" w:rsidRPr="0052436F">
        <w:rPr>
          <w:rFonts w:ascii="Aptos" w:eastAsia="Times New Roman" w:hAnsi="Aptos" w:cs="Arial"/>
          <w:highlight w:val="yellow"/>
        </w:rPr>
        <w:t>N.C.G.</w:t>
      </w:r>
      <w:r w:rsidR="0019002A" w:rsidRPr="001423D7">
        <w:rPr>
          <w:rFonts w:ascii="Aptos" w:eastAsia="Times New Roman" w:hAnsi="Aptos" w:cs="Arial"/>
          <w:highlight w:val="yellow"/>
        </w:rPr>
        <w:t>S. §</w:t>
      </w:r>
      <w:r w:rsidRPr="00F346C5">
        <w:rPr>
          <w:rFonts w:ascii="Aptos" w:eastAsia="Times New Roman" w:hAnsi="Aptos" w:cs="Arial"/>
        </w:rPr>
        <w:t>147-69.2. This statute authorizes investments for special funds held by the State Treasurer and includes the following investments: obligations of or fully guaranteed by the United States; obligations of certain federal agencies; repurchase agreements; obligations of the State of North Carolina; certificates of deposit and other deposit accounts of specified financial institutions; prime quality commercial paper; asset-backed securities, bills of exchange or time drafts, and corporate bonds/notes with specified ratings; general obligations of other states; general obligations of North Carolina local governments and obligations of certain entities with specified ratings.</w:t>
      </w:r>
    </w:p>
    <w:p w14:paraId="24FD3199" w14:textId="2425BCAF"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rPr>
        <w:t xml:space="preserve">At </w:t>
      </w:r>
      <w:r w:rsidR="00D001EB" w:rsidRPr="00F346C5">
        <w:rPr>
          <w:rFonts w:ascii="Aptos" w:eastAsia="Times New Roman" w:hAnsi="Aptos" w:cs="Arial"/>
        </w:rPr>
        <w:t xml:space="preserve">June 30, </w:t>
      </w:r>
      <w:r w:rsidR="00D001EB" w:rsidRPr="0019002A">
        <w:rPr>
          <w:rFonts w:ascii="Aptos" w:eastAsia="Times New Roman" w:hAnsi="Aptos" w:cs="Arial"/>
        </w:rPr>
        <w:t>202</w:t>
      </w:r>
      <w:r w:rsidR="00057FCD" w:rsidRPr="0019002A">
        <w:rPr>
          <w:rFonts w:ascii="Aptos" w:eastAsia="Times New Roman" w:hAnsi="Aptos" w:cs="Arial"/>
        </w:rPr>
        <w:t>6</w:t>
      </w:r>
      <w:r w:rsidRPr="00F346C5">
        <w:rPr>
          <w:rFonts w:ascii="Aptos" w:eastAsia="Times New Roman" w:hAnsi="Aptos" w:cs="Arial"/>
        </w:rPr>
        <w:t xml:space="preserve">, the amount shown on the Statement of Net Position as endowment, restricted, and/or other investments includes $________, which represents the College’s equity position in the State Treasurer’s Bond Index Fund (BIF). The BIF (a portfolio within the State Treasurer’s Investment Pool, an external investment pool that is not registered with the Securities and Exchange Commission or subject to any formal regulatory oversight and does not have a credit rating) had a weighted average maturity of </w:t>
      </w:r>
      <w:commentRangeStart w:id="13"/>
      <w:r w:rsidR="00D519F7" w:rsidRPr="00B531E4">
        <w:rPr>
          <w:rFonts w:ascii="Aptos" w:eastAsia="Times New Roman" w:hAnsi="Aptos" w:cs="Arial"/>
          <w:highlight w:val="yellow"/>
        </w:rPr>
        <w:t>X.X</w:t>
      </w:r>
      <w:commentRangeEnd w:id="13"/>
      <w:r w:rsidR="0019002A" w:rsidRPr="00F346C5">
        <w:rPr>
          <w:rStyle w:val="CommentReference"/>
          <w:rFonts w:ascii="Aptos" w:eastAsia="Times New Roman" w:hAnsi="Aptos" w:cs="Arial"/>
          <w:sz w:val="22"/>
          <w:szCs w:val="22"/>
        </w:rPr>
        <w:commentReference w:id="13"/>
      </w:r>
      <w:r w:rsidRPr="00F346C5">
        <w:rPr>
          <w:rFonts w:ascii="Aptos" w:eastAsia="Times New Roman" w:hAnsi="Aptos" w:cs="Arial"/>
        </w:rPr>
        <w:t xml:space="preserve"> years at</w:t>
      </w:r>
      <w:r w:rsidR="00A72825" w:rsidRPr="00F346C5">
        <w:rPr>
          <w:rFonts w:ascii="Aptos" w:eastAsia="Times New Roman" w:hAnsi="Aptos" w:cs="Arial"/>
        </w:rPr>
        <w:t xml:space="preserve"> </w:t>
      </w:r>
      <w:r w:rsidR="00D001EB" w:rsidRPr="00F346C5">
        <w:rPr>
          <w:rFonts w:ascii="Aptos" w:eastAsia="Times New Roman" w:hAnsi="Aptos" w:cs="Arial"/>
        </w:rPr>
        <w:t xml:space="preserve">June 30, </w:t>
      </w:r>
      <w:r w:rsidR="00D001EB" w:rsidRPr="0019002A">
        <w:rPr>
          <w:rFonts w:ascii="Aptos" w:eastAsia="Times New Roman" w:hAnsi="Aptos" w:cs="Arial"/>
        </w:rPr>
        <w:t>202</w:t>
      </w:r>
      <w:r w:rsidR="00D519F7" w:rsidRPr="0019002A">
        <w:rPr>
          <w:rFonts w:ascii="Aptos" w:eastAsia="Times New Roman" w:hAnsi="Aptos" w:cs="Arial"/>
        </w:rPr>
        <w:t>6</w:t>
      </w:r>
      <w:r w:rsidRPr="00F346C5">
        <w:rPr>
          <w:rFonts w:ascii="Aptos" w:eastAsia="Times New Roman" w:hAnsi="Aptos" w:cs="Arial"/>
        </w:rPr>
        <w:t xml:space="preserve">. Assets and shares of the BIF are valued at fair value. Deposit and investment risks associated with the State Treasurer’s Investment Pool (which includes the State Treasurer’s BIF) are included in the North Carolina Department of State Treasurer Investment Programs’ separately issued audit report. This separately issued report can be obtained from the Department of State Treasurer, 3200 Atlantic Avenue, Raleigh, NC 27604 or can be accessed from the Department of State Treasurer’s website at </w:t>
      </w:r>
      <w:hyperlink r:id="rId28" w:history="1">
        <w:r w:rsidRPr="00F346C5">
          <w:rPr>
            <w:rStyle w:val="Hyperlink"/>
            <w:rFonts w:ascii="Aptos" w:eastAsia="Times New Roman" w:hAnsi="Aptos" w:cs="Arial"/>
          </w:rPr>
          <w:t>https://www.nctreasurer.com/</w:t>
        </w:r>
      </w:hyperlink>
      <w:r w:rsidRPr="00F346C5">
        <w:rPr>
          <w:rFonts w:ascii="Aptos" w:eastAsia="Times New Roman" w:hAnsi="Aptos" w:cs="Arial"/>
        </w:rPr>
        <w:t xml:space="preserve"> in the Audited Financial Statements section.</w:t>
      </w:r>
    </w:p>
    <w:p w14:paraId="20648D28" w14:textId="77777777" w:rsidR="009D62EA" w:rsidRPr="00F346C5" w:rsidRDefault="009D62EA" w:rsidP="009D62EA">
      <w:pPr>
        <w:spacing w:after="240" w:line="240" w:lineRule="auto"/>
        <w:ind w:left="360"/>
        <w:jc w:val="center"/>
        <w:rPr>
          <w:rFonts w:ascii="Aptos" w:eastAsia="Times New Roman" w:hAnsi="Aptos" w:cs="Arial"/>
          <w:b/>
          <w:i/>
          <w:color w:val="0000FF"/>
        </w:rPr>
      </w:pPr>
      <w:r w:rsidRPr="00F346C5">
        <w:rPr>
          <w:rFonts w:ascii="Aptos" w:eastAsia="Times New Roman" w:hAnsi="Aptos" w:cs="Arial"/>
          <w:b/>
          <w:i/>
          <w:color w:val="0000FF"/>
        </w:rPr>
        <w:t xml:space="preserve">[Add for blended component units only </w:t>
      </w:r>
      <w:r w:rsidRPr="00F346C5">
        <w:rPr>
          <w:rFonts w:ascii="Aptos" w:eastAsia="Times New Roman" w:hAnsi="Aptos" w:cs="Arial"/>
          <w:i/>
          <w:color w:val="0000FF"/>
        </w:rPr>
        <w:t>-</w:t>
      </w:r>
      <w:r w:rsidRPr="00F346C5">
        <w:rPr>
          <w:rFonts w:ascii="Aptos" w:eastAsia="Times New Roman" w:hAnsi="Aptos" w:cs="Arial"/>
          <w:b/>
          <w:i/>
          <w:color w:val="0000FF"/>
        </w:rPr>
        <w:t xml:space="preserve"> example follows.]</w:t>
      </w:r>
    </w:p>
    <w:p w14:paraId="4C87F173" w14:textId="56C44A95"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rPr>
        <w:t>Investments of the College’s component unit(s), [</w:t>
      </w:r>
      <w:r w:rsidRPr="00F346C5">
        <w:rPr>
          <w:rFonts w:ascii="Aptos" w:eastAsia="Times New Roman" w:hAnsi="Aptos" w:cs="Arial"/>
          <w:color w:val="0000FF"/>
        </w:rPr>
        <w:t>the Foundation and __________,</w:t>
      </w:r>
      <w:r w:rsidRPr="00F346C5">
        <w:rPr>
          <w:rFonts w:ascii="Aptos" w:eastAsia="Times New Roman" w:hAnsi="Aptos" w:cs="Arial"/>
        </w:rPr>
        <w:t xml:space="preserve">] are subject to and restricted by </w:t>
      </w:r>
      <w:r w:rsidR="0019002A" w:rsidRPr="00AE6256">
        <w:rPr>
          <w:rFonts w:ascii="Aptos" w:eastAsia="Times New Roman" w:hAnsi="Aptos" w:cs="Arial"/>
          <w:highlight w:val="yellow"/>
        </w:rPr>
        <w:t>Chapter 36E of the North Carolina General Statutes, otherwise known as the</w:t>
      </w:r>
      <w:r w:rsidR="0019002A" w:rsidRPr="00866A10">
        <w:rPr>
          <w:rFonts w:ascii="Aptos" w:eastAsia="Times New Roman" w:hAnsi="Aptos" w:cs="Arial"/>
        </w:rPr>
        <w:t xml:space="preserve"> </w:t>
      </w:r>
      <w:r w:rsidRPr="00F346C5">
        <w:rPr>
          <w:rFonts w:ascii="Aptos" w:eastAsia="Times New Roman" w:hAnsi="Aptos" w:cs="Arial"/>
        </w:rPr>
        <w:t>Uniform Prudent Management of Institutional Funds Act (UPMIFA)</w:t>
      </w:r>
      <w:r w:rsidR="0019002A" w:rsidRPr="00B531E4">
        <w:rPr>
          <w:rFonts w:ascii="Aptos" w:eastAsia="Times New Roman" w:hAnsi="Aptos" w:cs="Arial"/>
          <w:highlight w:val="yellow"/>
        </w:rPr>
        <w:t>,</w:t>
      </w:r>
      <w:r w:rsidRPr="00F346C5">
        <w:rPr>
          <w:rFonts w:ascii="Aptos" w:eastAsia="Times New Roman" w:hAnsi="Aptos" w:cs="Arial"/>
        </w:rPr>
        <w:t xml:space="preserve"> and any requirements placed on them by contract or donor agreements.</w:t>
      </w:r>
    </w:p>
    <w:p w14:paraId="1646B247" w14:textId="77777777" w:rsidR="009D62EA" w:rsidRPr="00F346C5" w:rsidRDefault="009D62EA" w:rsidP="009D62EA">
      <w:pPr>
        <w:pBdr>
          <w:top w:val="single" w:sz="4" w:space="1" w:color="auto"/>
          <w:left w:val="single" w:sz="4" w:space="4" w:color="auto"/>
          <w:bottom w:val="single" w:sz="4" w:space="1" w:color="auto"/>
          <w:right w:val="single" w:sz="4" w:space="4" w:color="auto"/>
        </w:pBdr>
        <w:spacing w:after="240" w:line="240" w:lineRule="auto"/>
        <w:ind w:left="360"/>
        <w:jc w:val="center"/>
        <w:rPr>
          <w:rFonts w:ascii="Aptos" w:eastAsia="Times New Roman" w:hAnsi="Aptos" w:cs="Arial"/>
          <w:b/>
          <w:i/>
          <w:color w:val="0000FF"/>
        </w:rPr>
      </w:pPr>
      <w:r w:rsidRPr="00F346C5">
        <w:rPr>
          <w:rFonts w:ascii="Aptos" w:eastAsia="Times New Roman" w:hAnsi="Aptos" w:cs="Arial"/>
          <w:b/>
          <w:i/>
          <w:color w:val="0000FF"/>
        </w:rPr>
        <w:t xml:space="preserve">If the College has </w:t>
      </w:r>
      <w:r w:rsidRPr="00F346C5">
        <w:rPr>
          <w:rFonts w:ascii="Aptos" w:eastAsia="Times New Roman" w:hAnsi="Aptos" w:cs="Arial"/>
          <w:b/>
          <w:i/>
          <w:color w:val="0000FF"/>
          <w:u w:val="single"/>
        </w:rPr>
        <w:t>pooled</w:t>
      </w:r>
      <w:r w:rsidRPr="00F346C5">
        <w:rPr>
          <w:rFonts w:ascii="Aptos" w:eastAsia="Times New Roman" w:hAnsi="Aptos" w:cs="Arial"/>
          <w:b/>
          <w:i/>
          <w:color w:val="0000FF"/>
        </w:rPr>
        <w:t xml:space="preserve"> investments in addition to STIF or LTIP, additional disclosures may be required. </w:t>
      </w:r>
    </w:p>
    <w:p w14:paraId="31321E0B" w14:textId="77777777" w:rsidR="009D62EA" w:rsidRPr="00F346C5" w:rsidRDefault="009D62EA" w:rsidP="009D62EA">
      <w:pPr>
        <w:pBdr>
          <w:top w:val="single" w:sz="4" w:space="1" w:color="auto"/>
          <w:left w:val="single" w:sz="4" w:space="0" w:color="auto"/>
          <w:bottom w:val="single" w:sz="4" w:space="1" w:color="auto"/>
          <w:right w:val="single" w:sz="4" w:space="4" w:color="auto"/>
        </w:pBdr>
        <w:spacing w:after="240" w:line="240" w:lineRule="auto"/>
        <w:ind w:left="360"/>
        <w:jc w:val="both"/>
        <w:rPr>
          <w:rFonts w:ascii="Aptos" w:eastAsia="Times New Roman" w:hAnsi="Aptos" w:cs="Arial"/>
          <w:b/>
          <w:bCs/>
          <w:i/>
          <w:iCs/>
          <w:color w:val="0000FF"/>
        </w:rPr>
      </w:pPr>
      <w:r w:rsidRPr="00F346C5">
        <w:rPr>
          <w:rFonts w:ascii="Aptos" w:eastAsia="Times New Roman" w:hAnsi="Aptos" w:cs="Arial"/>
          <w:b/>
          <w:bCs/>
          <w:i/>
          <w:iCs/>
          <w:color w:val="0000FF"/>
        </w:rPr>
        <w:t>For Colleges with investments outside of STIF or LTIP:</w:t>
      </w:r>
    </w:p>
    <w:p w14:paraId="6AB75413" w14:textId="436E1B22" w:rsidR="009D62EA" w:rsidRPr="00F346C5" w:rsidRDefault="009D62EA" w:rsidP="009D62EA">
      <w:pPr>
        <w:spacing w:after="240" w:line="240" w:lineRule="auto"/>
        <w:ind w:left="360"/>
        <w:jc w:val="both"/>
        <w:rPr>
          <w:rFonts w:ascii="Aptos" w:eastAsia="Times New Roman" w:hAnsi="Aptos" w:cs="Arial"/>
          <w:b/>
          <w:i/>
          <w:color w:val="0000FF"/>
        </w:rPr>
      </w:pPr>
      <w:r w:rsidRPr="00F346C5">
        <w:rPr>
          <w:rFonts w:ascii="Aptos" w:eastAsia="Times New Roman" w:hAnsi="Aptos" w:cs="Arial"/>
        </w:rPr>
        <w:t xml:space="preserve">The following table presents the investments by type and investments subject to interest rate risk at </w:t>
      </w:r>
      <w:r w:rsidR="00D001EB" w:rsidRPr="00F346C5">
        <w:rPr>
          <w:rFonts w:ascii="Aptos" w:eastAsia="Times New Roman" w:hAnsi="Aptos" w:cs="Arial"/>
        </w:rPr>
        <w:t xml:space="preserve">June 30, </w:t>
      </w:r>
      <w:r w:rsidR="00D001EB" w:rsidRPr="0019002A">
        <w:rPr>
          <w:rFonts w:ascii="Aptos" w:eastAsia="Times New Roman" w:hAnsi="Aptos" w:cs="Arial"/>
        </w:rPr>
        <w:t>202</w:t>
      </w:r>
      <w:r w:rsidR="00D519F7" w:rsidRPr="0019002A">
        <w:rPr>
          <w:rFonts w:ascii="Aptos" w:eastAsia="Times New Roman" w:hAnsi="Aptos" w:cs="Arial"/>
        </w:rPr>
        <w:t>6</w:t>
      </w:r>
      <w:r w:rsidRPr="00F346C5">
        <w:rPr>
          <w:rFonts w:ascii="Aptos" w:eastAsia="Times New Roman" w:hAnsi="Aptos" w:cs="Arial"/>
        </w:rPr>
        <w:t>, for the College’s investments</w:t>
      </w:r>
      <w:r w:rsidRPr="00F346C5">
        <w:rPr>
          <w:rFonts w:ascii="Aptos" w:eastAsia="Times New Roman" w:hAnsi="Aptos" w:cs="Arial"/>
          <w:color w:val="0000FF"/>
        </w:rPr>
        <w:t xml:space="preserve">. </w:t>
      </w:r>
      <w:r w:rsidRPr="00F346C5">
        <w:rPr>
          <w:rFonts w:ascii="Aptos" w:eastAsia="Times New Roman" w:hAnsi="Aptos" w:cs="Arial"/>
          <w:bCs/>
        </w:rPr>
        <w:t xml:space="preserve">Interest rate risk is defined by GASB Statement No. 40, </w:t>
      </w:r>
      <w:r w:rsidRPr="00F346C5">
        <w:rPr>
          <w:rFonts w:ascii="Aptos" w:hAnsi="Aptos" w:cs="Arial"/>
          <w:bCs/>
          <w:i/>
        </w:rPr>
        <w:t xml:space="preserve">Deposit and Investment Risk Disclosures </w:t>
      </w:r>
      <w:r w:rsidR="00713774" w:rsidRPr="00F346C5">
        <w:rPr>
          <w:rFonts w:ascii="Aptos" w:hAnsi="Aptos" w:cs="Arial"/>
          <w:bCs/>
          <w:i/>
        </w:rPr>
        <w:t>-</w:t>
      </w:r>
      <w:r w:rsidRPr="00F346C5">
        <w:rPr>
          <w:rFonts w:ascii="Aptos" w:hAnsi="Aptos" w:cs="Arial"/>
          <w:bCs/>
          <w:i/>
        </w:rPr>
        <w:t xml:space="preserve"> An Amendment of GASB Statement No. 3,</w:t>
      </w:r>
      <w:r w:rsidRPr="00F346C5">
        <w:rPr>
          <w:rFonts w:ascii="Aptos" w:hAnsi="Aptos" w:cs="Arial"/>
          <w:bCs/>
        </w:rPr>
        <w:t xml:space="preserve"> </w:t>
      </w:r>
      <w:r w:rsidRPr="00F346C5">
        <w:rPr>
          <w:rFonts w:ascii="Aptos" w:eastAsia="Times New Roman" w:hAnsi="Aptos" w:cs="Arial"/>
          <w:bCs/>
        </w:rPr>
        <w:t xml:space="preserve">as the risk a government may face should interest rate variances affect the value of investments. The College does not have a formal investment policy that addresses interest rate risk. </w:t>
      </w:r>
      <w:r w:rsidRPr="00F346C5">
        <w:rPr>
          <w:rFonts w:ascii="Aptos" w:eastAsia="Times New Roman" w:hAnsi="Aptos" w:cs="Arial"/>
          <w:b/>
          <w:i/>
          <w:iCs/>
          <w:color w:val="0000FF"/>
        </w:rPr>
        <w:t xml:space="preserve">[Modify as necessary </w:t>
      </w:r>
      <w:r w:rsidRPr="00F346C5">
        <w:rPr>
          <w:rFonts w:ascii="Aptos" w:eastAsia="Times New Roman" w:hAnsi="Aptos" w:cs="Arial"/>
          <w:i/>
          <w:iCs/>
          <w:color w:val="0000FF"/>
        </w:rPr>
        <w:t>-</w:t>
      </w:r>
      <w:r w:rsidRPr="00F346C5">
        <w:rPr>
          <w:rFonts w:ascii="Aptos" w:eastAsia="Times New Roman" w:hAnsi="Aptos" w:cs="Arial"/>
          <w:b/>
          <w:i/>
          <w:iCs/>
          <w:color w:val="0000FF"/>
        </w:rPr>
        <w:t xml:space="preserve"> see GASB 40 for illustration if policy in place to limit investment maturities. Note to Preparer: If dissimilar investments are grouped into a single investment type, be sure to break out the investment types further as necessary to meet the requirements of GASB Statements 3 and 40. Refer to GASB 40 and the GASB </w:t>
      </w:r>
      <w:r w:rsidRPr="00F346C5">
        <w:rPr>
          <w:rFonts w:ascii="Aptos" w:eastAsia="Times New Roman" w:hAnsi="Aptos" w:cs="Arial"/>
          <w:b/>
          <w:i/>
          <w:iCs/>
          <w:color w:val="0000FF"/>
        </w:rPr>
        <w:lastRenderedPageBreak/>
        <w:t>Comprehensive Implementation Guide for further guidance about grouping investments by investment types.]</w:t>
      </w:r>
    </w:p>
    <w:p w14:paraId="16215311" w14:textId="77777777" w:rsidR="009D62EA" w:rsidRPr="00F346C5" w:rsidRDefault="009D62EA" w:rsidP="009D62EA">
      <w:pPr>
        <w:ind w:left="360"/>
        <w:jc w:val="center"/>
        <w:rPr>
          <w:rFonts w:ascii="Aptos" w:hAnsi="Aptos" w:cs="Arial"/>
          <w:b/>
          <w:i/>
        </w:rPr>
      </w:pPr>
      <w:r w:rsidRPr="00F346C5">
        <w:rPr>
          <w:rFonts w:ascii="Aptos" w:hAnsi="Aptos" w:cs="Arial"/>
          <w:b/>
          <w:i/>
        </w:rPr>
        <w:t>Investments</w:t>
      </w:r>
    </w:p>
    <w:bookmarkStart w:id="14" w:name="_MON_1286713854"/>
    <w:bookmarkStart w:id="15" w:name="_MON_1286714006"/>
    <w:bookmarkStart w:id="16" w:name="_MON_1286714040"/>
    <w:bookmarkStart w:id="17" w:name="_MON_1286714076"/>
    <w:bookmarkStart w:id="18" w:name="_MON_1286772989"/>
    <w:bookmarkStart w:id="19" w:name="_MON_1305456123"/>
    <w:bookmarkStart w:id="20" w:name="_1365316136"/>
    <w:bookmarkStart w:id="21" w:name="_MON_1367826331"/>
    <w:bookmarkStart w:id="22" w:name="_MON_1368343726"/>
    <w:bookmarkStart w:id="23" w:name="_MON_1370755827"/>
    <w:bookmarkStart w:id="24" w:name="_MON_1375523388"/>
    <w:bookmarkStart w:id="25" w:name="_MON_1401868860"/>
    <w:bookmarkStart w:id="26" w:name="_MON_1401870920"/>
    <w:bookmarkStart w:id="27" w:name="_MON_1405941822"/>
    <w:bookmarkStart w:id="28" w:name="_MON_1405941959"/>
    <w:bookmarkStart w:id="29" w:name="_MON_1420463977"/>
    <w:bookmarkStart w:id="30" w:name="_MON_1182596724"/>
    <w:bookmarkStart w:id="31" w:name="_MON_1182596790"/>
    <w:bookmarkStart w:id="32" w:name="_MON_1182596948"/>
    <w:bookmarkStart w:id="33" w:name="_MON_1182597003"/>
    <w:bookmarkStart w:id="34" w:name="_MON_1188032500"/>
    <w:bookmarkStart w:id="35" w:name="_MON_1188216149"/>
    <w:bookmarkStart w:id="36" w:name="_MON_1188216416"/>
    <w:bookmarkStart w:id="37" w:name="_MON_1188216479"/>
    <w:bookmarkStart w:id="38" w:name="_MON_1188216489"/>
    <w:bookmarkStart w:id="39" w:name="_MON_1188216851"/>
    <w:bookmarkStart w:id="40" w:name="_MON_1188282357"/>
    <w:bookmarkStart w:id="41" w:name="_MON_1191151907"/>
    <w:bookmarkStart w:id="42" w:name="_MON_1192355094"/>
    <w:bookmarkStart w:id="43" w:name="_MON_1211798705"/>
    <w:bookmarkStart w:id="44" w:name="_MON_1211799442"/>
    <w:bookmarkStart w:id="45" w:name="_MON_1212233181"/>
    <w:bookmarkStart w:id="46" w:name="_MON_1220934013"/>
    <w:bookmarkStart w:id="47" w:name="_MON_1220934177"/>
    <w:bookmarkStart w:id="48" w:name="_1220934301"/>
    <w:bookmarkStart w:id="49" w:name="_MON_1224322912"/>
    <w:bookmarkStart w:id="50" w:name="_MON_1246452119"/>
    <w:bookmarkStart w:id="51" w:name="_MON_1220934261"/>
    <w:bookmarkStart w:id="52" w:name="_MON_1277207995"/>
    <w:bookmarkStart w:id="53" w:name="_MON_1191406165"/>
    <w:bookmarkStart w:id="54" w:name="_MON_1277208154"/>
    <w:bookmarkStart w:id="55" w:name="_MON_1277208162"/>
    <w:bookmarkStart w:id="56" w:name="_MON_1277794819"/>
    <w:bookmarkStart w:id="57" w:name="_MON_1277794852"/>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Start w:id="58" w:name="_MON_1286713781"/>
    <w:bookmarkEnd w:id="58"/>
    <w:p w14:paraId="177C77D0" w14:textId="135A776B" w:rsidR="009D62EA" w:rsidRPr="00F346C5" w:rsidRDefault="00A72825" w:rsidP="009D62EA">
      <w:pPr>
        <w:spacing w:after="240" w:line="240" w:lineRule="auto"/>
        <w:ind w:left="360"/>
        <w:jc w:val="center"/>
        <w:rPr>
          <w:rFonts w:ascii="Aptos" w:eastAsia="Times New Roman" w:hAnsi="Aptos" w:cs="Arial"/>
        </w:rPr>
      </w:pPr>
      <w:r w:rsidRPr="00F346C5">
        <w:rPr>
          <w:rFonts w:ascii="Aptos" w:eastAsia="Times New Roman" w:hAnsi="Aptos" w:cs="Arial"/>
        </w:rPr>
        <w:object w:dxaOrig="12726" w:dyaOrig="9738" w14:anchorId="64FAB6A1">
          <v:shape id="_x0000_i1027" type="#_x0000_t75" style="width:465pt;height:400.5pt" o:ole="">
            <v:imagedata r:id="rId29" o:title=""/>
          </v:shape>
          <o:OLEObject Type="Embed" ProgID="Excel.Sheet.12" ShapeID="_x0000_i1027" DrawAspect="Content" ObjectID="_1843297330" r:id="rId30"/>
        </w:object>
      </w:r>
    </w:p>
    <w:p w14:paraId="1D0D28BA" w14:textId="77777777"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rPr>
        <w:t xml:space="preserve">Certificates of deposit reported as investments are also a component of the deposit totals reported in the deposits section of this note. </w:t>
      </w:r>
      <w:r w:rsidRPr="00F346C5">
        <w:rPr>
          <w:rFonts w:ascii="Aptos" w:eastAsia="Times New Roman" w:hAnsi="Aptos" w:cs="Arial"/>
          <w:b/>
          <w:bCs/>
          <w:i/>
          <w:iCs/>
          <w:color w:val="0000FF"/>
        </w:rPr>
        <w:t>[Omit if not applicable.]</w:t>
      </w:r>
    </w:p>
    <w:p w14:paraId="1CE029F6" w14:textId="77777777" w:rsidR="009D62EA" w:rsidRPr="00F346C5" w:rsidRDefault="009D62EA" w:rsidP="009D62EA">
      <w:pPr>
        <w:spacing w:after="240" w:line="240" w:lineRule="auto"/>
        <w:ind w:left="360"/>
        <w:jc w:val="both"/>
        <w:rPr>
          <w:rFonts w:ascii="Aptos" w:eastAsia="Times New Roman" w:hAnsi="Aptos" w:cs="Arial"/>
          <w:b/>
          <w:bCs/>
          <w:i/>
          <w:iCs/>
          <w:color w:val="3366FF"/>
        </w:rPr>
      </w:pPr>
      <w:r w:rsidRPr="00F346C5">
        <w:rPr>
          <w:rFonts w:ascii="Aptos" w:eastAsia="Times New Roman" w:hAnsi="Aptos" w:cs="Arial"/>
        </w:rPr>
        <w:t xml:space="preserve">In addition to the interest rate risk disclosed above, the College’s investments include investments highly sensitive to interest rate changes. </w:t>
      </w:r>
      <w:r w:rsidRPr="00F346C5">
        <w:rPr>
          <w:rFonts w:ascii="Aptos" w:eastAsia="Times New Roman" w:hAnsi="Aptos" w:cs="Arial"/>
          <w:b/>
          <w:i/>
          <w:color w:val="0000FF"/>
        </w:rPr>
        <w:t>[</w:t>
      </w:r>
      <w:r w:rsidRPr="00F346C5">
        <w:rPr>
          <w:rFonts w:ascii="Aptos" w:eastAsia="Times New Roman" w:hAnsi="Aptos" w:cs="Arial"/>
          <w:b/>
          <w:bCs/>
          <w:i/>
          <w:iCs/>
          <w:color w:val="0000FF"/>
        </w:rPr>
        <w:t>Describe - see paragraph 16 and 57 (examples listed were asset</w:t>
      </w:r>
      <w:r w:rsidRPr="00F346C5">
        <w:rPr>
          <w:rFonts w:ascii="Aptos" w:eastAsia="Times New Roman" w:hAnsi="Aptos" w:cs="Arial"/>
          <w:b/>
          <w:bCs/>
          <w:i/>
          <w:iCs/>
          <w:color w:val="0000FF"/>
        </w:rPr>
        <w:noBreakHyphen/>
        <w:t>backed securities) of GASB 40 and Illustration 7 in GASB 40. Illustration 7 includes CMO’s, Inverse Variable</w:t>
      </w:r>
      <w:r w:rsidRPr="00F346C5">
        <w:rPr>
          <w:rFonts w:ascii="Aptos" w:eastAsia="Times New Roman" w:hAnsi="Aptos" w:cs="Arial"/>
          <w:b/>
          <w:bCs/>
          <w:i/>
          <w:iCs/>
          <w:color w:val="0000FF"/>
        </w:rPr>
        <w:noBreakHyphen/>
        <w:t>Rate Notes, and Variable</w:t>
      </w:r>
      <w:r w:rsidRPr="00F346C5">
        <w:rPr>
          <w:rFonts w:ascii="Aptos" w:eastAsia="Times New Roman" w:hAnsi="Aptos" w:cs="Arial"/>
          <w:b/>
          <w:bCs/>
          <w:i/>
          <w:iCs/>
          <w:color w:val="0000FF"/>
        </w:rPr>
        <w:noBreakHyphen/>
        <w:t>Coupon Note with Multiplier as examples of investments highly sensitive to interest rate changes.]</w:t>
      </w:r>
    </w:p>
    <w:p w14:paraId="5EB6734B" w14:textId="7213BB7E" w:rsidR="009D62EA" w:rsidRPr="00F346C5" w:rsidRDefault="009D62EA" w:rsidP="009D62EA">
      <w:pPr>
        <w:spacing w:after="240" w:line="240" w:lineRule="auto"/>
        <w:ind w:left="360"/>
        <w:jc w:val="both"/>
        <w:rPr>
          <w:rFonts w:ascii="Aptos" w:eastAsia="Times New Roman" w:hAnsi="Aptos" w:cs="Arial"/>
          <w:b/>
          <w:i/>
          <w:iCs/>
          <w:color w:val="0000FF"/>
        </w:rPr>
      </w:pPr>
      <w:r w:rsidRPr="00F346C5">
        <w:rPr>
          <w:rFonts w:ascii="Aptos" w:eastAsia="Times New Roman" w:hAnsi="Aptos" w:cs="Arial"/>
          <w:i/>
          <w:iCs/>
        </w:rPr>
        <w:t>Credit Risk</w:t>
      </w:r>
      <w:r w:rsidRPr="00F346C5">
        <w:rPr>
          <w:rFonts w:ascii="Aptos" w:eastAsia="Times New Roman" w:hAnsi="Aptos" w:cs="Arial"/>
          <w:iCs/>
        </w:rPr>
        <w:t xml:space="preserve">: Credit risk is the risk that an issuer or other counterparty to an investment will not fulfill its obligations. </w:t>
      </w:r>
      <w:r w:rsidRPr="00F346C5">
        <w:rPr>
          <w:rFonts w:ascii="Aptos" w:eastAsia="Times New Roman" w:hAnsi="Aptos" w:cs="Arial"/>
        </w:rPr>
        <w:t xml:space="preserve">The College does not have a formal policy that addresses credit risk. As </w:t>
      </w:r>
      <w:r w:rsidRPr="00F346C5">
        <w:rPr>
          <w:rFonts w:ascii="Aptos" w:eastAsia="Times New Roman" w:hAnsi="Aptos" w:cs="Arial"/>
        </w:rPr>
        <w:lastRenderedPageBreak/>
        <w:t xml:space="preserve">of </w:t>
      </w:r>
      <w:r w:rsidR="00D001EB" w:rsidRPr="00F346C5">
        <w:rPr>
          <w:rFonts w:ascii="Aptos" w:eastAsia="Times New Roman" w:hAnsi="Aptos" w:cs="Arial"/>
        </w:rPr>
        <w:t xml:space="preserve">June 30, </w:t>
      </w:r>
      <w:r w:rsidR="00D001EB" w:rsidRPr="0019002A">
        <w:rPr>
          <w:rFonts w:ascii="Aptos" w:eastAsia="Times New Roman" w:hAnsi="Aptos" w:cs="Arial"/>
        </w:rPr>
        <w:t>202</w:t>
      </w:r>
      <w:r w:rsidR="00D519F7" w:rsidRPr="0019002A">
        <w:rPr>
          <w:rFonts w:ascii="Aptos" w:eastAsia="Times New Roman" w:hAnsi="Aptos" w:cs="Arial"/>
        </w:rPr>
        <w:t>6</w:t>
      </w:r>
      <w:r w:rsidRPr="00F346C5">
        <w:rPr>
          <w:rFonts w:ascii="Aptos" w:eastAsia="Times New Roman" w:hAnsi="Aptos" w:cs="Arial"/>
        </w:rPr>
        <w:t xml:space="preserve">, the College’s investments were rated as follows: </w:t>
      </w:r>
      <w:r w:rsidRPr="00F346C5">
        <w:rPr>
          <w:rFonts w:ascii="Aptos" w:eastAsia="Times New Roman" w:hAnsi="Aptos" w:cs="Arial"/>
          <w:b/>
          <w:i/>
          <w:iCs/>
          <w:color w:val="0000FF"/>
        </w:rPr>
        <w:t xml:space="preserve">[Modify as necessary </w:t>
      </w:r>
      <w:r w:rsidRPr="00F346C5">
        <w:rPr>
          <w:rFonts w:ascii="Aptos" w:eastAsia="Times New Roman" w:hAnsi="Aptos" w:cs="Arial"/>
          <w:i/>
          <w:iCs/>
          <w:color w:val="0000FF"/>
        </w:rPr>
        <w:t>-</w:t>
      </w:r>
      <w:r w:rsidRPr="00F346C5">
        <w:rPr>
          <w:rFonts w:ascii="Aptos" w:eastAsia="Times New Roman" w:hAnsi="Aptos" w:cs="Arial"/>
          <w:b/>
          <w:i/>
          <w:iCs/>
          <w:color w:val="0000FF"/>
        </w:rPr>
        <w:t xml:space="preserve"> disclose only lowest rating.]</w:t>
      </w:r>
    </w:p>
    <w:bookmarkStart w:id="59" w:name="_1188195059"/>
    <w:bookmarkStart w:id="60" w:name="_MON_1188195077"/>
    <w:bookmarkStart w:id="61" w:name="_MON_1213767604"/>
    <w:bookmarkStart w:id="62" w:name="_MON_1220942073"/>
    <w:bookmarkStart w:id="63" w:name="_MON_1246688545"/>
    <w:bookmarkStart w:id="64" w:name="_MON_1246782142"/>
    <w:bookmarkStart w:id="65" w:name="_MON_1246782216"/>
    <w:bookmarkStart w:id="66" w:name="_MON_1277551094"/>
    <w:bookmarkStart w:id="67" w:name="_MON_1286713947"/>
    <w:bookmarkStart w:id="68" w:name="_1286713968"/>
    <w:bookmarkStart w:id="69" w:name="_MON_1286713985"/>
    <w:bookmarkStart w:id="70" w:name="_MON_1286773012"/>
    <w:bookmarkStart w:id="71" w:name="_MON_1368343728"/>
    <w:bookmarkStart w:id="72" w:name="_MON_1370756037"/>
    <w:bookmarkStart w:id="73" w:name="_MON_1370756096"/>
    <w:bookmarkStart w:id="74" w:name="_MON_1375523468"/>
    <w:bookmarkStart w:id="75" w:name="_MON_1401868897"/>
    <w:bookmarkStart w:id="76" w:name="_MON_1188191753"/>
    <w:bookmarkStart w:id="77" w:name="_MON_1188191786"/>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Start w:id="78" w:name="_MON_1188191850"/>
    <w:bookmarkEnd w:id="78"/>
    <w:p w14:paraId="1871F58A" w14:textId="3DC788B5" w:rsidR="009D62EA" w:rsidRPr="00F346C5" w:rsidRDefault="00A72825" w:rsidP="00A72825">
      <w:pPr>
        <w:spacing w:after="240" w:line="240" w:lineRule="auto"/>
        <w:ind w:left="-180"/>
        <w:jc w:val="center"/>
        <w:rPr>
          <w:rFonts w:ascii="Aptos" w:eastAsia="Times New Roman" w:hAnsi="Aptos" w:cs="Arial"/>
        </w:rPr>
      </w:pPr>
      <w:r w:rsidRPr="00F346C5">
        <w:rPr>
          <w:rFonts w:ascii="Aptos" w:eastAsia="Times New Roman" w:hAnsi="Aptos" w:cs="Arial"/>
        </w:rPr>
        <w:object w:dxaOrig="13403" w:dyaOrig="4980" w14:anchorId="013D21EC">
          <v:shape id="_x0000_i1028" type="#_x0000_t75" style="width:491.25pt;height:194.25pt" o:ole="">
            <v:imagedata r:id="rId31" o:title=""/>
            <o:lock v:ext="edit" aspectratio="f"/>
          </v:shape>
          <o:OLEObject Type="Embed" ProgID="Excel.Sheet.12" ShapeID="_x0000_i1028" DrawAspect="Content" ObjectID="_1843297331" r:id="rId32"/>
        </w:object>
      </w:r>
    </w:p>
    <w:p w14:paraId="66E57B2F" w14:textId="77777777" w:rsidR="009D62EA" w:rsidRPr="00F346C5" w:rsidRDefault="009D62EA" w:rsidP="009D62EA">
      <w:pPr>
        <w:spacing w:after="240" w:line="240" w:lineRule="auto"/>
        <w:ind w:left="360"/>
        <w:jc w:val="both"/>
        <w:rPr>
          <w:rFonts w:ascii="Aptos" w:eastAsia="Times New Roman" w:hAnsi="Aptos" w:cs="Arial"/>
          <w:color w:val="0000FF"/>
        </w:rPr>
      </w:pPr>
      <w:r w:rsidRPr="00F346C5">
        <w:rPr>
          <w:rFonts w:ascii="Aptos" w:eastAsia="Times New Roman" w:hAnsi="Aptos" w:cs="Arial"/>
          <w:i/>
          <w:iCs/>
        </w:rPr>
        <w:t>Custodial Credit Risk</w:t>
      </w:r>
      <w:r w:rsidRPr="00F346C5">
        <w:rPr>
          <w:rFonts w:ascii="Aptos" w:eastAsia="Times New Roman" w:hAnsi="Aptos" w:cs="Arial"/>
          <w:iCs/>
        </w:rPr>
        <w:t xml:space="preserve">: </w:t>
      </w:r>
      <w:r w:rsidRPr="00F346C5">
        <w:rPr>
          <w:rFonts w:ascii="Aptos" w:eastAsia="Times New Roman" w:hAnsi="Aptos" w:cs="Arial"/>
        </w:rPr>
        <w:t xml:space="preserve">For an investment, custodial credit risk is the risk that, in the event of the failure of the counterparty, the College will not be able to recover the value of its investments or collateral securities that are in the possession of an outside party. The College does not have a formal policy for custodial credit risk. The College’s investments were exposed to custodial credit risk as follows: </w:t>
      </w:r>
      <w:r w:rsidRPr="00F346C5">
        <w:rPr>
          <w:rFonts w:ascii="Aptos" w:eastAsia="Times New Roman" w:hAnsi="Aptos" w:cs="Arial"/>
          <w:b/>
          <w:i/>
          <w:iCs/>
          <w:color w:val="0000FF"/>
        </w:rPr>
        <w:t>[Modify as necessary.]</w:t>
      </w:r>
    </w:p>
    <w:bookmarkStart w:id="79" w:name="_1370756154"/>
    <w:bookmarkStart w:id="80" w:name="_MON_1286714113"/>
    <w:bookmarkStart w:id="81" w:name="_MON_1286714153"/>
    <w:bookmarkStart w:id="82" w:name="_MON_1286773023"/>
    <w:bookmarkStart w:id="83" w:name="_1368343730"/>
    <w:bookmarkStart w:id="84" w:name="_MON_1375523573"/>
    <w:bookmarkStart w:id="85" w:name="_MON_1402726147"/>
    <w:bookmarkStart w:id="86" w:name="_MON_1188191873"/>
    <w:bookmarkStart w:id="87" w:name="_MON_1188192048"/>
    <w:bookmarkStart w:id="88" w:name="_MON_1188192407"/>
    <w:bookmarkStart w:id="89" w:name="_MON_1188195050"/>
    <w:bookmarkStart w:id="90" w:name="_MON_1188198445"/>
    <w:bookmarkStart w:id="91" w:name="_MON_1188198467"/>
    <w:bookmarkStart w:id="92" w:name="_MON_1188198490"/>
    <w:bookmarkEnd w:id="79"/>
    <w:bookmarkEnd w:id="80"/>
    <w:bookmarkEnd w:id="81"/>
    <w:bookmarkEnd w:id="82"/>
    <w:bookmarkEnd w:id="83"/>
    <w:bookmarkEnd w:id="84"/>
    <w:bookmarkEnd w:id="85"/>
    <w:bookmarkEnd w:id="86"/>
    <w:bookmarkEnd w:id="87"/>
    <w:bookmarkEnd w:id="88"/>
    <w:bookmarkEnd w:id="89"/>
    <w:bookmarkEnd w:id="90"/>
    <w:bookmarkEnd w:id="91"/>
    <w:bookmarkEnd w:id="92"/>
    <w:bookmarkStart w:id="93" w:name="_MON_1286714108"/>
    <w:bookmarkEnd w:id="93"/>
    <w:p w14:paraId="0CB3A1EE" w14:textId="667765DD" w:rsidR="009D62EA" w:rsidRPr="00F346C5" w:rsidRDefault="00A72825" w:rsidP="009D62EA">
      <w:pPr>
        <w:spacing w:after="240" w:line="240" w:lineRule="auto"/>
        <w:ind w:left="360"/>
        <w:jc w:val="center"/>
        <w:rPr>
          <w:rFonts w:ascii="Aptos" w:eastAsia="Times New Roman" w:hAnsi="Aptos" w:cs="Arial"/>
        </w:rPr>
      </w:pPr>
      <w:r w:rsidRPr="00F346C5">
        <w:rPr>
          <w:rFonts w:ascii="Aptos" w:eastAsia="Times New Roman" w:hAnsi="Aptos" w:cs="Arial"/>
        </w:rPr>
        <w:object w:dxaOrig="7120" w:dyaOrig="2878" w14:anchorId="214B0FA3">
          <v:shape id="_x0000_i1029" type="#_x0000_t75" style="width:321.75pt;height:127.5pt" o:ole="">
            <v:imagedata r:id="rId33" o:title=""/>
          </v:shape>
          <o:OLEObject Type="Embed" ProgID="Excel.Sheet.12" ShapeID="_x0000_i1029" DrawAspect="Content" ObjectID="_1843297332" r:id="rId34"/>
        </w:object>
      </w:r>
    </w:p>
    <w:p w14:paraId="6257D17E" w14:textId="77777777" w:rsidR="009D62EA" w:rsidRPr="00F346C5" w:rsidRDefault="009D62EA" w:rsidP="009D62EA">
      <w:pPr>
        <w:spacing w:after="240" w:line="240" w:lineRule="auto"/>
        <w:ind w:left="360"/>
        <w:jc w:val="both"/>
        <w:rPr>
          <w:rFonts w:ascii="Aptos" w:eastAsia="Times New Roman" w:hAnsi="Aptos" w:cs="Arial"/>
        </w:rPr>
      </w:pPr>
      <w:r w:rsidRPr="00F346C5">
        <w:rPr>
          <w:rFonts w:ascii="Aptos" w:eastAsia="Times New Roman" w:hAnsi="Aptos" w:cs="Arial"/>
          <w:i/>
          <w:iCs/>
        </w:rPr>
        <w:t>Concentration of Credit Risk</w:t>
      </w:r>
      <w:r w:rsidRPr="00F346C5">
        <w:rPr>
          <w:rFonts w:ascii="Aptos" w:eastAsia="Times New Roman" w:hAnsi="Aptos" w:cs="Arial"/>
          <w:iCs/>
        </w:rPr>
        <w:t xml:space="preserve">: Concentration of credit risk is the risk of loss attributable to the magnitude of an investment in a single issuer. </w:t>
      </w:r>
      <w:r w:rsidRPr="00F346C5">
        <w:rPr>
          <w:rFonts w:ascii="Aptos" w:eastAsia="Times New Roman" w:hAnsi="Aptos" w:cs="Arial"/>
        </w:rPr>
        <w:t xml:space="preserve">The College places no limit on the amount that may be invested in any one issuer. More than 5% of the College’s investments are in _______ and _______. These investments are ___% and ___%, respectively, of the College’s investments. </w:t>
      </w:r>
      <w:r w:rsidRPr="00F346C5">
        <w:rPr>
          <w:rFonts w:ascii="Aptos" w:eastAsia="Times New Roman" w:hAnsi="Aptos" w:cs="Arial"/>
          <w:b/>
          <w:i/>
          <w:iCs/>
          <w:color w:val="0000FF"/>
        </w:rPr>
        <w:t>[Modify as necessary.]</w:t>
      </w:r>
    </w:p>
    <w:p w14:paraId="5E0CCB27" w14:textId="7A0CD04C" w:rsidR="009D62EA" w:rsidRPr="00F346C5" w:rsidRDefault="009D62EA" w:rsidP="009D62EA">
      <w:pPr>
        <w:spacing w:after="240" w:line="240" w:lineRule="auto"/>
        <w:ind w:left="360"/>
        <w:jc w:val="both"/>
        <w:rPr>
          <w:rFonts w:ascii="Aptos" w:eastAsia="Times New Roman" w:hAnsi="Aptos" w:cs="Arial"/>
          <w:b/>
          <w:bCs/>
          <w:i/>
          <w:iCs/>
          <w:color w:val="0000FF"/>
        </w:rPr>
      </w:pPr>
      <w:r w:rsidRPr="00F346C5">
        <w:rPr>
          <w:rFonts w:ascii="Aptos" w:eastAsia="Times New Roman" w:hAnsi="Aptos" w:cs="Arial"/>
          <w:i/>
          <w:iCs/>
        </w:rPr>
        <w:t>Foreign Currency Risk</w:t>
      </w:r>
      <w:r w:rsidRPr="00F346C5">
        <w:rPr>
          <w:rFonts w:ascii="Aptos" w:eastAsia="Times New Roman" w:hAnsi="Aptos" w:cs="Arial"/>
          <w:iCs/>
        </w:rPr>
        <w:t xml:space="preserve">: </w:t>
      </w:r>
      <w:r w:rsidRPr="00F346C5">
        <w:rPr>
          <w:rFonts w:ascii="Aptos" w:eastAsia="Times New Roman" w:hAnsi="Aptos" w:cs="Arial"/>
        </w:rPr>
        <w:t xml:space="preserve">Foreign currency risk is defined by GASB Statement No. 40 as the risk that changes in exchange rates will adversely affect the value of an investment. </w:t>
      </w:r>
      <w:r w:rsidRPr="00F346C5">
        <w:rPr>
          <w:rFonts w:ascii="Aptos" w:eastAsia="Times New Roman" w:hAnsi="Aptos" w:cs="Arial"/>
          <w:b/>
          <w:i/>
          <w:color w:val="0000FF"/>
        </w:rPr>
        <w:t>[If no policy:</w:t>
      </w:r>
      <w:r w:rsidRPr="00F346C5">
        <w:rPr>
          <w:rFonts w:ascii="Aptos" w:eastAsia="Times New Roman" w:hAnsi="Aptos" w:cs="Arial"/>
        </w:rPr>
        <w:t xml:space="preserve"> The College does not have a formal policy for foreign currency risk.</w:t>
      </w:r>
      <w:r w:rsidRPr="00F346C5">
        <w:rPr>
          <w:rFonts w:ascii="Aptos" w:eastAsia="Times New Roman" w:hAnsi="Aptos" w:cs="Arial"/>
          <w:b/>
          <w:i/>
          <w:color w:val="0000FF"/>
        </w:rPr>
        <w:t>]</w:t>
      </w:r>
      <w:r w:rsidRPr="00F346C5">
        <w:rPr>
          <w:rFonts w:ascii="Aptos" w:eastAsia="Times New Roman" w:hAnsi="Aptos" w:cs="Arial"/>
        </w:rPr>
        <w:t xml:space="preserve"> </w:t>
      </w:r>
      <w:r w:rsidRPr="00F346C5">
        <w:rPr>
          <w:rFonts w:ascii="Aptos" w:eastAsia="Times New Roman" w:hAnsi="Aptos" w:cs="Arial"/>
          <w:b/>
          <w:i/>
          <w:color w:val="0000FF"/>
        </w:rPr>
        <w:t>OR</w:t>
      </w:r>
      <w:r w:rsidRPr="00F346C5">
        <w:rPr>
          <w:rFonts w:ascii="Aptos" w:eastAsia="Times New Roman" w:hAnsi="Aptos" w:cs="Arial"/>
        </w:rPr>
        <w:t xml:space="preserve"> </w:t>
      </w:r>
      <w:r w:rsidRPr="00F346C5">
        <w:rPr>
          <w:rFonts w:ascii="Aptos" w:eastAsia="Times New Roman" w:hAnsi="Aptos" w:cs="Arial"/>
          <w:b/>
          <w:i/>
          <w:color w:val="0000FF"/>
        </w:rPr>
        <w:t>[If policy:</w:t>
      </w:r>
      <w:r w:rsidRPr="00F346C5">
        <w:rPr>
          <w:rFonts w:ascii="Aptos" w:eastAsia="Times New Roman" w:hAnsi="Aptos" w:cs="Arial"/>
        </w:rPr>
        <w:t xml:space="preserve"> </w:t>
      </w:r>
      <w:r w:rsidRPr="00F346C5">
        <w:rPr>
          <w:rFonts w:ascii="Aptos" w:eastAsia="Times New Roman" w:hAnsi="Aptos" w:cs="Arial"/>
          <w:bCs/>
        </w:rPr>
        <w:t>The College’s investment policy permits it to invest up to ___% in foreign currency - ______. The College’s current position is ___%.</w:t>
      </w:r>
      <w:r w:rsidRPr="00F346C5">
        <w:rPr>
          <w:rFonts w:ascii="Aptos" w:eastAsia="Times New Roman" w:hAnsi="Aptos" w:cs="Arial"/>
          <w:b/>
          <w:bCs/>
          <w:i/>
          <w:color w:val="0000FF"/>
        </w:rPr>
        <w:t>]</w:t>
      </w:r>
      <w:r w:rsidRPr="00F346C5">
        <w:rPr>
          <w:rFonts w:ascii="Aptos" w:eastAsia="Times New Roman" w:hAnsi="Aptos" w:cs="Arial"/>
          <w:bCs/>
        </w:rPr>
        <w:t xml:space="preserve"> The College recognized an aggregate foreign currency transaction </w:t>
      </w:r>
      <w:r w:rsidRPr="00F346C5">
        <w:rPr>
          <w:rFonts w:ascii="Aptos" w:eastAsia="Times New Roman" w:hAnsi="Aptos" w:cs="Arial"/>
          <w:b/>
          <w:bCs/>
          <w:i/>
          <w:color w:val="3333FF"/>
        </w:rPr>
        <w:t>[gain/loss]</w:t>
      </w:r>
      <w:r w:rsidRPr="00F346C5">
        <w:rPr>
          <w:rFonts w:ascii="Aptos" w:eastAsia="Times New Roman" w:hAnsi="Aptos" w:cs="Arial"/>
          <w:bCs/>
        </w:rPr>
        <w:t xml:space="preserve"> of $_______ for the fiscal year ended </w:t>
      </w:r>
      <w:r w:rsidR="00D001EB" w:rsidRPr="00F346C5">
        <w:rPr>
          <w:rFonts w:ascii="Aptos" w:eastAsia="Times New Roman" w:hAnsi="Aptos" w:cs="Arial"/>
          <w:bCs/>
        </w:rPr>
        <w:t xml:space="preserve">June 30, </w:t>
      </w:r>
      <w:r w:rsidR="00D001EB" w:rsidRPr="0019002A">
        <w:rPr>
          <w:rFonts w:ascii="Aptos" w:eastAsia="Times New Roman" w:hAnsi="Aptos" w:cs="Arial"/>
          <w:bCs/>
        </w:rPr>
        <w:t>202</w:t>
      </w:r>
      <w:r w:rsidR="00D519F7" w:rsidRPr="0019002A">
        <w:rPr>
          <w:rFonts w:ascii="Aptos" w:eastAsia="Times New Roman" w:hAnsi="Aptos" w:cs="Arial"/>
          <w:bCs/>
        </w:rPr>
        <w:t>6</w:t>
      </w:r>
      <w:r w:rsidRPr="00F346C5">
        <w:rPr>
          <w:rFonts w:ascii="Aptos" w:eastAsia="Times New Roman" w:hAnsi="Aptos" w:cs="Arial"/>
          <w:bCs/>
        </w:rPr>
        <w:t xml:space="preserve">. Transaction gains or losses result from a change in exchange rates between the U.S. Dollar and the currency in </w:t>
      </w:r>
      <w:r w:rsidRPr="00F346C5">
        <w:rPr>
          <w:rFonts w:ascii="Aptos" w:eastAsia="Times New Roman" w:hAnsi="Aptos" w:cs="Arial"/>
          <w:bCs/>
        </w:rPr>
        <w:lastRenderedPageBreak/>
        <w:t xml:space="preserve">which a foreign currency transaction is denominated. </w:t>
      </w:r>
      <w:r w:rsidRPr="00F346C5">
        <w:rPr>
          <w:rFonts w:ascii="Aptos" w:eastAsia="Times New Roman" w:hAnsi="Aptos" w:cs="Arial"/>
        </w:rPr>
        <w:t>The College’s exposure to foreign currency risk for their investments is as follows:</w:t>
      </w:r>
      <w:r w:rsidRPr="00F346C5">
        <w:rPr>
          <w:rFonts w:ascii="Aptos" w:eastAsia="Times New Roman" w:hAnsi="Aptos" w:cs="Arial"/>
          <w:b/>
          <w:bCs/>
          <w:i/>
          <w:iCs/>
          <w:color w:val="0000FF"/>
        </w:rPr>
        <w:t xml:space="preserve"> [See GASB 40 illustration for further information. </w:t>
      </w:r>
      <w:r w:rsidRPr="00F346C5">
        <w:rPr>
          <w:rFonts w:ascii="Aptos" w:eastAsia="Times New Roman" w:hAnsi="Aptos" w:cs="Arial"/>
          <w:b/>
          <w:i/>
          <w:iCs/>
          <w:color w:val="0000FF"/>
        </w:rPr>
        <w:t>Per GASB Implementation Guide 2018-1 question 5.1, foreign currency risk only applies if the entity has investments denominated in foreign currency. Disclosure requirements do not apply to foreign investments held by investment funds that are U.S. dollar denominated.</w:t>
      </w:r>
      <w:r w:rsidRPr="00F346C5">
        <w:rPr>
          <w:rFonts w:ascii="Aptos" w:eastAsia="Times New Roman" w:hAnsi="Aptos" w:cs="Arial"/>
          <w:b/>
          <w:bCs/>
          <w:i/>
          <w:iCs/>
          <w:color w:val="0000FF"/>
        </w:rPr>
        <w:t>]</w:t>
      </w:r>
    </w:p>
    <w:bookmarkStart w:id="94" w:name="_1188192394"/>
    <w:bookmarkStart w:id="95" w:name="_MON_1286773074"/>
    <w:bookmarkStart w:id="96" w:name="_MON_1368343731"/>
    <w:bookmarkStart w:id="97" w:name="_MON_1370756295"/>
    <w:bookmarkStart w:id="98" w:name="_MON_1375523661"/>
    <w:bookmarkStart w:id="99" w:name="_1402726155"/>
    <w:bookmarkStart w:id="100" w:name="_MON_1188191991"/>
    <w:bookmarkStart w:id="101" w:name="_MON_1188192071"/>
    <w:bookmarkStart w:id="102" w:name="_MON_1188195041"/>
    <w:bookmarkStart w:id="103" w:name="_MON_1286714198"/>
    <w:bookmarkStart w:id="104" w:name="_MON_1286714208"/>
    <w:bookmarkStart w:id="105" w:name="_MON_1286714238"/>
    <w:bookmarkStart w:id="106" w:name="_MON_1286714246"/>
    <w:bookmarkStart w:id="107" w:name="_MON_1286714261"/>
    <w:bookmarkStart w:id="108" w:name="_MON_1286714278"/>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Start w:id="109" w:name="_MON_1286773061"/>
    <w:bookmarkEnd w:id="109"/>
    <w:p w14:paraId="2BDA8517" w14:textId="6BF93161" w:rsidR="009D62EA" w:rsidRPr="00F346C5" w:rsidRDefault="00A72825" w:rsidP="009D62EA">
      <w:pPr>
        <w:spacing w:after="240" w:line="240" w:lineRule="auto"/>
        <w:ind w:left="360"/>
        <w:jc w:val="center"/>
        <w:rPr>
          <w:rFonts w:ascii="Aptos" w:eastAsia="Times New Roman" w:hAnsi="Aptos" w:cs="Arial"/>
        </w:rPr>
      </w:pPr>
      <w:r w:rsidRPr="00F346C5">
        <w:rPr>
          <w:rFonts w:ascii="Aptos" w:eastAsia="Times New Roman" w:hAnsi="Aptos" w:cs="Arial"/>
        </w:rPr>
        <w:object w:dxaOrig="6701" w:dyaOrig="2425" w14:anchorId="57A39CD5">
          <v:shape id="_x0000_i1030" type="#_x0000_t75" style="width:303.75pt;height:114.75pt" o:ole="">
            <v:imagedata r:id="rId35" o:title=""/>
          </v:shape>
          <o:OLEObject Type="Embed" ProgID="Excel.Sheet.12" ShapeID="_x0000_i1030" DrawAspect="Content" ObjectID="_1843297333" r:id="rId36"/>
        </w:object>
      </w:r>
    </w:p>
    <w:p w14:paraId="793088BC" w14:textId="77777777" w:rsidR="009D62EA" w:rsidRPr="00F346C5" w:rsidRDefault="009D62EA" w:rsidP="009D62EA">
      <w:pPr>
        <w:spacing w:after="240" w:line="240" w:lineRule="auto"/>
        <w:ind w:left="360"/>
        <w:jc w:val="both"/>
        <w:rPr>
          <w:rFonts w:ascii="Aptos" w:eastAsia="Times New Roman" w:hAnsi="Aptos" w:cs="Arial"/>
          <w:i/>
          <w:color w:val="0000FF"/>
        </w:rPr>
      </w:pPr>
      <w:r w:rsidRPr="00F346C5">
        <w:rPr>
          <w:rFonts w:ascii="Aptos" w:eastAsia="Times New Roman" w:hAnsi="Aptos" w:cs="Arial"/>
          <w:b/>
          <w:i/>
          <w:color w:val="0000FF"/>
        </w:rPr>
        <w:t>[For discretely presented component units with material investments not invested with the college – disclosure may be required. See GASB 61 paragraph 11b for further guidance.]</w:t>
      </w:r>
    </w:p>
    <w:p w14:paraId="55FA9C24" w14:textId="589FF9CE" w:rsidR="009D62EA" w:rsidRPr="00F346C5" w:rsidRDefault="009D62EA" w:rsidP="009D62EA">
      <w:pPr>
        <w:spacing w:after="240" w:line="240" w:lineRule="auto"/>
        <w:ind w:left="360"/>
        <w:jc w:val="both"/>
        <w:rPr>
          <w:rFonts w:ascii="Aptos" w:eastAsia="Times New Roman" w:hAnsi="Aptos" w:cs="Arial"/>
          <w:b/>
          <w:i/>
          <w:color w:val="0000FF"/>
        </w:rPr>
      </w:pPr>
      <w:r w:rsidRPr="00F346C5">
        <w:rPr>
          <w:rFonts w:ascii="Aptos" w:eastAsia="Times New Roman" w:hAnsi="Aptos" w:cs="Arial"/>
          <w:b/>
        </w:rPr>
        <w:t xml:space="preserve">Component Unit(s)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rPr>
        <w:t xml:space="preserve">Investments of the College’s discretely presented component unit(s), </w:t>
      </w:r>
      <w:r w:rsidRPr="00F346C5">
        <w:rPr>
          <w:rFonts w:ascii="Aptos" w:eastAsia="Times New Roman" w:hAnsi="Aptos" w:cs="Arial"/>
          <w:b/>
          <w:color w:val="0000FF"/>
        </w:rPr>
        <w:t>[the Foundation]</w:t>
      </w:r>
      <w:r w:rsidRPr="00F346C5">
        <w:rPr>
          <w:rFonts w:ascii="Aptos" w:eastAsia="Times New Roman" w:hAnsi="Aptos" w:cs="Arial"/>
        </w:rPr>
        <w:t xml:space="preserve">, are subject to and restricted by </w:t>
      </w:r>
      <w:r w:rsidR="0019002A" w:rsidRPr="00AE6256">
        <w:rPr>
          <w:rFonts w:ascii="Aptos" w:eastAsia="Times New Roman" w:hAnsi="Aptos" w:cs="Arial"/>
          <w:highlight w:val="yellow"/>
        </w:rPr>
        <w:t>Chapter 36E of the North Carolina General Statutes, otherwise known as the</w:t>
      </w:r>
      <w:r w:rsidR="0019002A" w:rsidRPr="00866A10">
        <w:rPr>
          <w:rFonts w:ascii="Aptos" w:eastAsia="Times New Roman" w:hAnsi="Aptos" w:cs="Arial"/>
        </w:rPr>
        <w:t xml:space="preserve"> </w:t>
      </w:r>
      <w:r w:rsidRPr="00F346C5">
        <w:rPr>
          <w:rFonts w:ascii="Aptos" w:eastAsia="Times New Roman" w:hAnsi="Aptos" w:cs="Arial"/>
        </w:rPr>
        <w:t>Uniform Prudent Management of Institutional Funds Act (UPMIFA)</w:t>
      </w:r>
      <w:r w:rsidR="0019002A" w:rsidRPr="00B531E4">
        <w:rPr>
          <w:rFonts w:ascii="Aptos" w:eastAsia="Times New Roman" w:hAnsi="Aptos" w:cs="Arial"/>
          <w:highlight w:val="yellow"/>
        </w:rPr>
        <w:t>,</w:t>
      </w:r>
      <w:r w:rsidRPr="00F346C5">
        <w:rPr>
          <w:rFonts w:ascii="Aptos" w:eastAsia="Times New Roman" w:hAnsi="Aptos" w:cs="Arial"/>
        </w:rPr>
        <w:t xml:space="preserve"> and any requirements placed on them by contract or donor agreements. Because the </w:t>
      </w:r>
      <w:r w:rsidRPr="00F346C5">
        <w:rPr>
          <w:rFonts w:ascii="Aptos" w:eastAsia="Times New Roman" w:hAnsi="Aptos" w:cs="Arial"/>
          <w:b/>
          <w:color w:val="0000FF"/>
        </w:rPr>
        <w:t>[Foundation]</w:t>
      </w:r>
      <w:r w:rsidRPr="00F346C5">
        <w:rPr>
          <w:rFonts w:ascii="Aptos" w:eastAsia="Times New Roman" w:hAnsi="Aptos" w:cs="Arial"/>
        </w:rPr>
        <w:t xml:space="preserve"> report</w:t>
      </w:r>
      <w:r w:rsidRPr="00F346C5">
        <w:rPr>
          <w:rFonts w:ascii="Aptos" w:eastAsia="Times New Roman" w:hAnsi="Aptos" w:cs="Arial"/>
          <w:b/>
          <w:bCs/>
          <w:iCs/>
          <w:color w:val="0000FF"/>
        </w:rPr>
        <w:t>(s)</w:t>
      </w:r>
      <w:r w:rsidRPr="00F346C5">
        <w:rPr>
          <w:rFonts w:ascii="Aptos" w:eastAsia="Times New Roman" w:hAnsi="Aptos" w:cs="Arial"/>
          <w:i/>
        </w:rPr>
        <w:t xml:space="preserve"> </w:t>
      </w:r>
      <w:r w:rsidRPr="00F346C5">
        <w:rPr>
          <w:rFonts w:ascii="Aptos" w:eastAsia="Times New Roman" w:hAnsi="Aptos" w:cs="Arial"/>
        </w:rPr>
        <w:t xml:space="preserve">under the FASB reporting model, disclosures of the various investment risks are not required. The following is an analysis of investments by type: </w:t>
      </w:r>
      <w:r w:rsidRPr="00F346C5">
        <w:rPr>
          <w:rFonts w:ascii="Aptos" w:eastAsia="Times New Roman" w:hAnsi="Aptos" w:cs="Arial"/>
          <w:b/>
          <w:i/>
          <w:color w:val="0000FF"/>
        </w:rPr>
        <w:t>[Provide disclosures as necessary based on audit report for foundation.]</w:t>
      </w:r>
    </w:p>
    <w:p w14:paraId="0A44F70F" w14:textId="014849A1" w:rsidR="009D62EA" w:rsidRPr="00F346C5" w:rsidRDefault="009D62EA" w:rsidP="009D62EA">
      <w:pPr>
        <w:tabs>
          <w:tab w:val="left" w:pos="1530"/>
        </w:tabs>
        <w:spacing w:after="240" w:line="240" w:lineRule="auto"/>
        <w:ind w:left="360" w:hanging="25"/>
        <w:jc w:val="both"/>
        <w:rPr>
          <w:rFonts w:ascii="Aptos" w:eastAsia="Times New Roman" w:hAnsi="Aptos" w:cs="Arial"/>
          <w:b/>
          <w:i/>
          <w:color w:val="0000FF"/>
        </w:rPr>
      </w:pPr>
      <w:bookmarkStart w:id="110" w:name="_MON_1188198392"/>
      <w:bookmarkStart w:id="111" w:name="_MON_1188198513"/>
      <w:bookmarkStart w:id="112" w:name="_MON_1199876464"/>
      <w:bookmarkStart w:id="113" w:name="_MON_1199876547"/>
      <w:bookmarkStart w:id="114" w:name="_MON_1286714309"/>
      <w:bookmarkStart w:id="115" w:name="_MON_1286773099"/>
      <w:bookmarkStart w:id="116" w:name="_MON_1368343733"/>
      <w:bookmarkStart w:id="117" w:name="_MON_1370756345"/>
      <w:bookmarkStart w:id="118" w:name="_MON_1401871004"/>
      <w:bookmarkStart w:id="119" w:name="_MON_1402726161"/>
      <w:bookmarkStart w:id="120" w:name="_MON_1402726256"/>
      <w:bookmarkStart w:id="121" w:name="_MON_1402726298"/>
      <w:bookmarkStart w:id="122" w:name="_MON_1402726314"/>
      <w:bookmarkStart w:id="123" w:name="_MON_1420464011"/>
      <w:bookmarkStart w:id="124" w:name="_MON_1182854029"/>
      <w:bookmarkStart w:id="125" w:name="_MON_1182855527"/>
      <w:bookmarkStart w:id="126" w:name="_MON_1182855608"/>
      <w:bookmarkStart w:id="127" w:name="_MON_1188190972"/>
      <w:bookmarkStart w:id="128" w:name="_MON_1188190990"/>
      <w:bookmarkStart w:id="129" w:name="_MON_1188191002"/>
      <w:bookmarkStart w:id="130" w:name="_MON_1188191543"/>
      <w:bookmarkStart w:id="131" w:name="_MON_1188191650"/>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F346C5">
        <w:rPr>
          <w:rFonts w:ascii="Aptos" w:eastAsia="Times New Roman" w:hAnsi="Aptos" w:cs="Arial"/>
          <w:b/>
          <w:i/>
          <w:color w:val="0000FF"/>
        </w:rPr>
        <w:t>[Note to Preparer: If an external investment pool meets the criteria in GASB 79 and measures all of its investments at amortized cost, the pool’s participants also should measure their investments in that external investment pool at amortized cost for financial reporting purposes. GASB 79 ¶42 establishes additional note disclosure requirements for qualifying external investment pools that measure all of its investments at amortized cost and for governments that participate in those pools. Information about any limitations or restrictions on participant withdrawals should be disclosed. These disclosures are in addition to existing disclosure requirements for external investment pools.]</w:t>
      </w:r>
    </w:p>
    <w:p w14:paraId="12C6B618" w14:textId="77777777" w:rsidR="009D62EA" w:rsidRPr="00F346C5" w:rsidRDefault="009D62EA"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r w:rsidRPr="00F346C5">
        <w:rPr>
          <w:rFonts w:ascii="Aptos" w:eastAsia="Times New Roman" w:hAnsi="Aptos" w:cs="Times New Roman"/>
          <w:b/>
          <w:kern w:val="28"/>
        </w:rPr>
        <w:t>Note 3</w:t>
      </w:r>
      <w:r w:rsidRPr="00F346C5">
        <w:rPr>
          <w:rFonts w:ascii="Aptos" w:eastAsia="Times New Roman" w:hAnsi="Aptos" w:cs="Times New Roman"/>
          <w:b/>
          <w:kern w:val="28"/>
        </w:rPr>
        <w:tab/>
        <w:t>-</w:t>
      </w:r>
      <w:r w:rsidRPr="00F346C5">
        <w:rPr>
          <w:rFonts w:ascii="Aptos" w:eastAsia="Times New Roman" w:hAnsi="Aptos" w:cs="Times New Roman"/>
          <w:b/>
          <w:kern w:val="28"/>
        </w:rPr>
        <w:tab/>
        <w:t>Fair Value Measurements</w:t>
      </w:r>
    </w:p>
    <w:p w14:paraId="6C4480AC" w14:textId="77777777" w:rsidR="009D62EA" w:rsidRPr="00F346C5" w:rsidRDefault="009D62EA" w:rsidP="009D62EA">
      <w:pPr>
        <w:spacing w:after="240" w:line="240" w:lineRule="auto"/>
        <w:jc w:val="both"/>
        <w:rPr>
          <w:rFonts w:ascii="Aptos" w:hAnsi="Aptos" w:cs="Arial"/>
          <w:b/>
          <w:smallCaps/>
        </w:rPr>
      </w:pPr>
      <w:r w:rsidRPr="00F346C5">
        <w:rPr>
          <w:rFonts w:ascii="Aptos" w:eastAsia="Times New Roman" w:hAnsi="Aptos" w:cs="Arial"/>
          <w:b/>
          <w:i/>
          <w:color w:val="0000FF"/>
        </w:rPr>
        <w:t xml:space="preserve">[If the College has discretely presented component units with a material fair value disclosure </w:t>
      </w:r>
      <w:r w:rsidRPr="00F346C5">
        <w:rPr>
          <w:rFonts w:ascii="Aptos" w:eastAsia="Times New Roman" w:hAnsi="Aptos" w:cs="Arial"/>
          <w:i/>
          <w:color w:val="0000FF"/>
        </w:rPr>
        <w:t>-</w:t>
      </w:r>
      <w:r w:rsidRPr="00F346C5">
        <w:rPr>
          <w:rFonts w:ascii="Aptos" w:eastAsia="Times New Roman" w:hAnsi="Aptos" w:cs="Arial"/>
          <w:b/>
          <w:i/>
          <w:color w:val="0000FF"/>
        </w:rPr>
        <w:t xml:space="preserve"> then additional disclosure is necessary and the College fair value note will be one part of the note and the component unit will be another. If not, delete the “College” bold below and make all one note.]</w:t>
      </w:r>
    </w:p>
    <w:p w14:paraId="1B092B0A" w14:textId="0C3F39F7" w:rsidR="009D62EA" w:rsidRPr="00F346C5" w:rsidRDefault="009D62EA" w:rsidP="009D62EA">
      <w:pPr>
        <w:spacing w:after="240" w:line="240" w:lineRule="auto"/>
        <w:jc w:val="both"/>
        <w:rPr>
          <w:rFonts w:ascii="Aptos" w:hAnsi="Aptos" w:cs="Arial"/>
        </w:rPr>
      </w:pPr>
      <w:r w:rsidRPr="00F346C5">
        <w:rPr>
          <w:rFonts w:ascii="Aptos" w:hAnsi="Aptos" w:cs="Arial"/>
          <w:b/>
        </w:rPr>
        <w:t>College</w:t>
      </w:r>
      <w:r w:rsidRPr="00F346C5">
        <w:rPr>
          <w:rFonts w:ascii="Aptos" w:hAnsi="Aptos" w:cs="Arial"/>
        </w:rPr>
        <w:t xml:space="preserve"> - To the extent available, the College’s investments are recorded at fair value as of </w:t>
      </w:r>
      <w:r w:rsidR="00D001EB" w:rsidRPr="00F346C5">
        <w:rPr>
          <w:rFonts w:ascii="Aptos" w:hAnsi="Aptos" w:cs="Arial"/>
        </w:rPr>
        <w:t xml:space="preserve">June 30, </w:t>
      </w:r>
      <w:r w:rsidR="00D001EB" w:rsidRPr="0019002A">
        <w:rPr>
          <w:rFonts w:ascii="Aptos" w:hAnsi="Aptos" w:cs="Arial"/>
        </w:rPr>
        <w:t>202</w:t>
      </w:r>
      <w:r w:rsidR="00D519F7" w:rsidRPr="0019002A">
        <w:rPr>
          <w:rFonts w:ascii="Aptos" w:hAnsi="Aptos" w:cs="Arial"/>
        </w:rPr>
        <w:t>6</w:t>
      </w:r>
      <w:r w:rsidRPr="00F346C5">
        <w:rPr>
          <w:rFonts w:ascii="Aptos" w:hAnsi="Aptos" w:cs="Arial"/>
        </w:rPr>
        <w:t xml:space="preserve">. GASB Statement No. 72, </w:t>
      </w:r>
      <w:r w:rsidRPr="00F346C5">
        <w:rPr>
          <w:rFonts w:ascii="Aptos" w:hAnsi="Aptos" w:cs="Arial"/>
          <w:i/>
        </w:rPr>
        <w:t>Fair Value Measurement and Application</w:t>
      </w:r>
      <w:r w:rsidRPr="00F346C5">
        <w:rPr>
          <w:rFonts w:ascii="Aptos" w:hAnsi="Aptos" w:cs="Arial"/>
        </w:rPr>
        <w:t xml:space="preserve">, defines fair value as </w:t>
      </w:r>
      <w:r w:rsidRPr="00F346C5">
        <w:rPr>
          <w:rFonts w:ascii="Aptos" w:hAnsi="Aptos" w:cs="Arial"/>
        </w:rPr>
        <w:lastRenderedPageBreak/>
        <w:t xml:space="preserve">the price that would be received to sell an asset or paid to transfer a liability in an orderly transaction between market participants at the measurement date. This statement establishes a hierarchy of valuation inputs based on the extent to which the inputs are observable in the marketplace. Inputs are used in applying the various valuation techniques and take into account the assumptions that market participants use to make valuation decisions. Inputs may include price information, credit data, interest and yield curve data, and other factors specific to the financial instrument. Observable inputs reflect market data obtained from independent sources. In contrast, unobservable inputs reflect the entity’s assumptions about how market participants would value the financial instrument. Valuation techniques should maximize the use of observable inputs to the extent available. </w:t>
      </w:r>
    </w:p>
    <w:p w14:paraId="49C4EF7B" w14:textId="77777777" w:rsidR="009D62EA" w:rsidRPr="00F346C5" w:rsidRDefault="009D62EA" w:rsidP="009D62EA">
      <w:pPr>
        <w:spacing w:after="240" w:line="240" w:lineRule="auto"/>
        <w:jc w:val="both"/>
        <w:rPr>
          <w:rFonts w:ascii="Aptos" w:hAnsi="Aptos" w:cs="Arial"/>
        </w:rPr>
      </w:pPr>
      <w:r w:rsidRPr="00F346C5">
        <w:rPr>
          <w:rFonts w:ascii="Aptos" w:hAnsi="Aptos" w:cs="Arial"/>
        </w:rPr>
        <w:t>A financial instrument’s level within the fair value hierarchy is based on the lowest level of any input that is significant to the fair value measurement. The following describes the hierarchy of inputs used to measure fair value and the primary valuation methodologies used for financial instruments measured at fair value on a recurring basis:</w:t>
      </w:r>
    </w:p>
    <w:p w14:paraId="23241B26" w14:textId="77777777" w:rsidR="009D62EA" w:rsidRPr="00F346C5" w:rsidRDefault="009D62EA" w:rsidP="009D62EA">
      <w:pPr>
        <w:spacing w:after="240" w:line="240" w:lineRule="auto"/>
        <w:ind w:left="1800" w:hanging="1440"/>
        <w:jc w:val="both"/>
        <w:rPr>
          <w:rFonts w:ascii="Aptos" w:hAnsi="Aptos" w:cs="Arial"/>
        </w:rPr>
      </w:pPr>
      <w:r w:rsidRPr="00F346C5">
        <w:rPr>
          <w:rFonts w:ascii="Aptos" w:hAnsi="Aptos" w:cs="Arial"/>
        </w:rPr>
        <w:t>Level 1</w:t>
      </w:r>
      <w:r w:rsidRPr="00F346C5">
        <w:rPr>
          <w:rFonts w:ascii="Aptos" w:hAnsi="Aptos" w:cs="Arial"/>
        </w:rPr>
        <w:tab/>
        <w:t xml:space="preserve">Investments whose values are based on quoted prices (unadjusted) for identical assets </w:t>
      </w:r>
      <w:r w:rsidRPr="00F346C5">
        <w:rPr>
          <w:rFonts w:ascii="Aptos" w:hAnsi="Aptos" w:cs="Arial"/>
          <w:color w:val="0000FF"/>
        </w:rPr>
        <w:t>(or</w:t>
      </w:r>
      <w:r w:rsidRPr="00F346C5">
        <w:rPr>
          <w:rFonts w:ascii="Aptos" w:hAnsi="Aptos" w:cs="Arial"/>
        </w:rPr>
        <w:t xml:space="preserve"> </w:t>
      </w:r>
      <w:r w:rsidRPr="00F346C5">
        <w:rPr>
          <w:rFonts w:ascii="Aptos" w:hAnsi="Aptos" w:cs="Arial"/>
          <w:color w:val="0000FF"/>
        </w:rPr>
        <w:t>liabilities)</w:t>
      </w:r>
      <w:r w:rsidRPr="00F346C5">
        <w:rPr>
          <w:rFonts w:ascii="Aptos" w:hAnsi="Aptos" w:cs="Arial"/>
        </w:rPr>
        <w:t xml:space="preserve"> in active markets that a government can access at the measurement date. </w:t>
      </w:r>
    </w:p>
    <w:p w14:paraId="3B325600" w14:textId="229D306F" w:rsidR="009D62EA" w:rsidRPr="00F346C5" w:rsidRDefault="009D62EA" w:rsidP="009D62EA">
      <w:pPr>
        <w:spacing w:after="240" w:line="240" w:lineRule="auto"/>
        <w:ind w:left="1800" w:hanging="1440"/>
        <w:jc w:val="both"/>
        <w:rPr>
          <w:rFonts w:ascii="Aptos" w:hAnsi="Aptos" w:cs="Arial"/>
        </w:rPr>
      </w:pPr>
      <w:r w:rsidRPr="00F346C5">
        <w:rPr>
          <w:rFonts w:ascii="Aptos" w:hAnsi="Aptos" w:cs="Arial"/>
        </w:rPr>
        <w:t>Level 2</w:t>
      </w:r>
      <w:r w:rsidRPr="00F346C5">
        <w:rPr>
          <w:rFonts w:ascii="Aptos" w:hAnsi="Aptos" w:cs="Arial"/>
        </w:rPr>
        <w:tab/>
        <w:t xml:space="preserve">Investments with inputs </w:t>
      </w:r>
      <w:r w:rsidR="00713774" w:rsidRPr="00F346C5">
        <w:rPr>
          <w:rFonts w:ascii="Aptos" w:hAnsi="Aptos" w:cs="Arial"/>
        </w:rPr>
        <w:t>-</w:t>
      </w:r>
      <w:r w:rsidRPr="00F346C5">
        <w:rPr>
          <w:rFonts w:ascii="Aptos" w:hAnsi="Aptos" w:cs="Arial"/>
        </w:rPr>
        <w:t xml:space="preserve"> other than quoted prices included within Level 1 </w:t>
      </w:r>
      <w:r w:rsidR="00713774" w:rsidRPr="00F346C5">
        <w:rPr>
          <w:rFonts w:ascii="Aptos" w:hAnsi="Aptos" w:cs="Arial"/>
        </w:rPr>
        <w:t>-</w:t>
      </w:r>
      <w:r w:rsidRPr="00F346C5">
        <w:rPr>
          <w:rFonts w:ascii="Aptos" w:hAnsi="Aptos" w:cs="Arial"/>
        </w:rPr>
        <w:t xml:space="preserve"> that are observable for an asset </w:t>
      </w:r>
      <w:r w:rsidRPr="00F346C5">
        <w:rPr>
          <w:rFonts w:ascii="Aptos" w:hAnsi="Aptos" w:cs="Arial"/>
          <w:color w:val="0000FF"/>
        </w:rPr>
        <w:t>(or liability)</w:t>
      </w:r>
      <w:r w:rsidRPr="00F346C5">
        <w:rPr>
          <w:rFonts w:ascii="Aptos" w:hAnsi="Aptos" w:cs="Arial"/>
        </w:rPr>
        <w:t>, either directly or indirectly.</w:t>
      </w:r>
    </w:p>
    <w:p w14:paraId="151A05A2" w14:textId="77777777" w:rsidR="009D62EA" w:rsidRPr="00F346C5" w:rsidRDefault="009D62EA" w:rsidP="009D62EA">
      <w:pPr>
        <w:spacing w:after="240" w:line="240" w:lineRule="auto"/>
        <w:ind w:left="1800" w:hanging="1440"/>
        <w:jc w:val="both"/>
        <w:rPr>
          <w:rFonts w:ascii="Aptos" w:hAnsi="Aptos" w:cs="Arial"/>
        </w:rPr>
      </w:pPr>
      <w:r w:rsidRPr="00F346C5">
        <w:rPr>
          <w:rFonts w:ascii="Aptos" w:hAnsi="Aptos" w:cs="Arial"/>
        </w:rPr>
        <w:t>Level 3</w:t>
      </w:r>
      <w:r w:rsidRPr="00F346C5">
        <w:rPr>
          <w:rFonts w:ascii="Aptos" w:hAnsi="Aptos" w:cs="Arial"/>
        </w:rPr>
        <w:tab/>
        <w:t xml:space="preserve">Investments classified as Level 3 have unobservable inputs and may require a degree of professional judgment. </w:t>
      </w:r>
    </w:p>
    <w:p w14:paraId="2256E435" w14:textId="77777777" w:rsidR="009D62EA" w:rsidRPr="00F346C5" w:rsidRDefault="009D62EA" w:rsidP="009D62EA">
      <w:pPr>
        <w:spacing w:after="240" w:line="240" w:lineRule="auto"/>
        <w:jc w:val="both"/>
        <w:rPr>
          <w:rFonts w:ascii="Aptos" w:hAnsi="Aptos" w:cs="Arial"/>
          <w:b/>
          <w:i/>
          <w:color w:val="0000FF"/>
        </w:rPr>
      </w:pPr>
      <w:r w:rsidRPr="00F346C5">
        <w:rPr>
          <w:rFonts w:ascii="Aptos" w:hAnsi="Aptos" w:cs="Arial"/>
          <w:b/>
          <w:i/>
          <w:color w:val="0000FF"/>
        </w:rPr>
        <w:t>[Note to Preparer: Remove reference to liabilities above if the College has no liabilities that are measured at fair value.]</w:t>
      </w:r>
    </w:p>
    <w:p w14:paraId="7A7D7C3F" w14:textId="709F824F" w:rsidR="009D62EA" w:rsidRPr="00F346C5" w:rsidRDefault="009D62EA" w:rsidP="009D62EA">
      <w:pPr>
        <w:tabs>
          <w:tab w:val="left" w:pos="1530"/>
        </w:tabs>
        <w:spacing w:after="240" w:line="240" w:lineRule="auto"/>
        <w:jc w:val="both"/>
        <w:rPr>
          <w:rFonts w:ascii="Aptos" w:hAnsi="Aptos" w:cs="Arial"/>
        </w:rPr>
      </w:pPr>
      <w:r w:rsidRPr="00F346C5">
        <w:rPr>
          <w:rFonts w:ascii="Aptos" w:hAnsi="Aptos" w:cs="Arial"/>
        </w:rPr>
        <w:t xml:space="preserve">The following table summarizes the College’s investments, including the Short-Term Investment Fund, within the fair value hierarchy at </w:t>
      </w:r>
      <w:r w:rsidR="00D001EB" w:rsidRPr="00F346C5">
        <w:rPr>
          <w:rFonts w:ascii="Aptos" w:hAnsi="Aptos" w:cs="Arial"/>
        </w:rPr>
        <w:t xml:space="preserve">June 30, </w:t>
      </w:r>
      <w:r w:rsidR="00D001EB" w:rsidRPr="0019002A">
        <w:rPr>
          <w:rFonts w:ascii="Aptos" w:hAnsi="Aptos" w:cs="Arial"/>
        </w:rPr>
        <w:t>202</w:t>
      </w:r>
      <w:r w:rsidR="00D519F7" w:rsidRPr="0019002A">
        <w:rPr>
          <w:rFonts w:ascii="Aptos" w:hAnsi="Aptos" w:cs="Arial"/>
        </w:rPr>
        <w:t>6</w:t>
      </w:r>
      <w:r w:rsidRPr="00F346C5">
        <w:rPr>
          <w:rFonts w:ascii="Aptos" w:hAnsi="Aptos" w:cs="Arial"/>
        </w:rPr>
        <w:t>:</w:t>
      </w:r>
    </w:p>
    <w:bookmarkStart w:id="132" w:name="_1517141391"/>
    <w:bookmarkEnd w:id="132"/>
    <w:bookmarkStart w:id="133" w:name="_MON_1520083562"/>
    <w:bookmarkEnd w:id="133"/>
    <w:p w14:paraId="3B148987" w14:textId="715D4CF0" w:rsidR="009D62EA" w:rsidRPr="00F346C5" w:rsidRDefault="00A72825" w:rsidP="009D62EA">
      <w:pPr>
        <w:spacing w:after="240" w:line="240" w:lineRule="auto"/>
        <w:jc w:val="center"/>
        <w:rPr>
          <w:rFonts w:ascii="Aptos" w:hAnsi="Aptos" w:cs="Arial"/>
        </w:rPr>
      </w:pPr>
      <w:r w:rsidRPr="00F346C5">
        <w:rPr>
          <w:rFonts w:ascii="Aptos" w:eastAsia="Times New Roman" w:hAnsi="Aptos" w:cs="Arial"/>
        </w:rPr>
        <w:object w:dxaOrig="16046" w:dyaOrig="14843" w14:anchorId="3AC47AB2">
          <v:shape id="_x0000_i1031" type="#_x0000_t75" style="width:7in;height:519.75pt" o:ole="">
            <v:imagedata r:id="rId37" o:title=""/>
          </v:shape>
          <o:OLEObject Type="Embed" ProgID="Excel.Sheet.12" ShapeID="_x0000_i1031" DrawAspect="Content" ObjectID="_1843297334" r:id="rId38"/>
        </w:object>
      </w:r>
    </w:p>
    <w:p w14:paraId="1DECD7A3" w14:textId="77777777" w:rsidR="009D62EA" w:rsidRPr="00F346C5" w:rsidRDefault="009D62EA" w:rsidP="009D62EA">
      <w:pPr>
        <w:spacing w:after="240" w:line="240" w:lineRule="auto"/>
        <w:jc w:val="both"/>
        <w:rPr>
          <w:rFonts w:ascii="Aptos" w:hAnsi="Aptos" w:cs="Arial"/>
          <w:b/>
          <w:i/>
          <w:color w:val="0000FF"/>
        </w:rPr>
      </w:pPr>
      <w:r w:rsidRPr="00F346C5">
        <w:rPr>
          <w:rFonts w:ascii="Aptos" w:hAnsi="Aptos" w:cs="Arial"/>
          <w:b/>
          <w:i/>
          <w:color w:val="0000FF"/>
        </w:rPr>
        <w:t>Note to Preparer: See GASB Codification I50.109 through 126 for exceptions to fair value reporting.</w:t>
      </w:r>
    </w:p>
    <w:p w14:paraId="221948A8" w14:textId="77777777" w:rsidR="009D62EA" w:rsidRPr="00F346C5" w:rsidRDefault="009D62EA" w:rsidP="009D62EA">
      <w:pPr>
        <w:spacing w:after="240" w:line="240" w:lineRule="auto"/>
        <w:jc w:val="both"/>
        <w:rPr>
          <w:rFonts w:ascii="Aptos" w:hAnsi="Aptos" w:cs="Arial"/>
          <w:b/>
        </w:rPr>
      </w:pPr>
      <w:r w:rsidRPr="00F346C5">
        <w:rPr>
          <w:rFonts w:ascii="Aptos" w:hAnsi="Aptos" w:cs="Arial"/>
          <w:b/>
        </w:rPr>
        <w:t xml:space="preserve">Short-Term Investment Fund </w:t>
      </w:r>
      <w:r w:rsidRPr="00F346C5">
        <w:rPr>
          <w:rFonts w:ascii="Aptos" w:hAnsi="Aptos" w:cs="Arial"/>
        </w:rPr>
        <w:t>-</w:t>
      </w:r>
      <w:r w:rsidRPr="00F346C5">
        <w:rPr>
          <w:rFonts w:ascii="Aptos" w:hAnsi="Aptos" w:cs="Arial"/>
          <w:b/>
        </w:rPr>
        <w:t xml:space="preserve"> </w:t>
      </w:r>
      <w:r w:rsidRPr="00F346C5">
        <w:rPr>
          <w:rFonts w:ascii="Aptos" w:hAnsi="Aptos" w:cs="Arial"/>
        </w:rPr>
        <w:t xml:space="preserve">At year-end, all of the College’s investments valued at $_____ were held in the STIF </w:t>
      </w:r>
      <w:r w:rsidRPr="00F346C5">
        <w:rPr>
          <w:rFonts w:ascii="Aptos" w:hAnsi="Aptos" w:cs="Arial"/>
          <w:color w:val="0000FF"/>
        </w:rPr>
        <w:t>(Note: only include the preceding sentence if the only investments of the College are STIF. Remove FV table if that is all that is disclosed)</w:t>
      </w:r>
      <w:r w:rsidRPr="00F346C5">
        <w:rPr>
          <w:rFonts w:ascii="Aptos" w:hAnsi="Aptos" w:cs="Arial"/>
        </w:rPr>
        <w:t>.</w:t>
      </w:r>
      <w:r w:rsidRPr="00F346C5">
        <w:rPr>
          <w:rFonts w:ascii="Aptos" w:hAnsi="Aptos" w:cs="Arial"/>
          <w:b/>
          <w:bCs/>
        </w:rPr>
        <w:t xml:space="preserve"> </w:t>
      </w:r>
      <w:r w:rsidRPr="00F346C5">
        <w:rPr>
          <w:rFonts w:ascii="Aptos" w:eastAsia="Times New Roman" w:hAnsi="Aptos" w:cs="Arial"/>
        </w:rPr>
        <w:t xml:space="preserve">Ownership interests of the STIF are determined on a fair market valuation basis as of fiscal year end in accordance with the STIF operating procedures. Valuation of the underlying assets is performed by the custodian. Pool </w:t>
      </w:r>
      <w:r w:rsidRPr="00F346C5">
        <w:rPr>
          <w:rFonts w:ascii="Aptos" w:eastAsia="Times New Roman" w:hAnsi="Aptos" w:cs="Arial"/>
        </w:rPr>
        <w:lastRenderedPageBreak/>
        <w:t xml:space="preserve">investments are measured at fair value in accordance with GASB Statement No. 72. The College’s position in the pool is measured and reported at fair value </w:t>
      </w:r>
      <w:r w:rsidRPr="00F346C5">
        <w:rPr>
          <w:rFonts w:ascii="Aptos" w:hAnsi="Aptos" w:cs="Arial"/>
        </w:rPr>
        <w:t>and the STIF is not required to be categorized within the fair value hierarchy</w:t>
      </w:r>
      <w:r w:rsidRPr="00F346C5">
        <w:rPr>
          <w:rFonts w:ascii="Aptos" w:eastAsia="Times New Roman" w:hAnsi="Aptos" w:cs="Arial"/>
        </w:rPr>
        <w:t>.</w:t>
      </w:r>
    </w:p>
    <w:p w14:paraId="3F05109A" w14:textId="77777777" w:rsidR="009D62EA" w:rsidRPr="00F346C5" w:rsidRDefault="009D62EA" w:rsidP="009D62EA">
      <w:pPr>
        <w:spacing w:after="240" w:line="240" w:lineRule="auto"/>
        <w:jc w:val="both"/>
        <w:rPr>
          <w:rFonts w:ascii="Aptos" w:hAnsi="Aptos" w:cs="Arial"/>
          <w:b/>
        </w:rPr>
      </w:pPr>
      <w:r w:rsidRPr="00F346C5">
        <w:rPr>
          <w:rFonts w:ascii="Aptos" w:hAnsi="Aptos" w:cs="Arial"/>
          <w:b/>
        </w:rPr>
        <w:t xml:space="preserve">Bond Index Fund </w:t>
      </w:r>
      <w:r w:rsidRPr="00F346C5">
        <w:rPr>
          <w:rFonts w:ascii="Aptos" w:hAnsi="Aptos" w:cs="Arial"/>
        </w:rPr>
        <w:t>-</w:t>
      </w:r>
      <w:r w:rsidRPr="00F346C5">
        <w:rPr>
          <w:rFonts w:ascii="Aptos" w:hAnsi="Aptos" w:cs="Arial"/>
          <w:b/>
        </w:rPr>
        <w:t xml:space="preserve"> </w:t>
      </w:r>
      <w:r w:rsidRPr="00F346C5">
        <w:rPr>
          <w:rFonts w:ascii="Aptos" w:eastAsia="Times New Roman" w:hAnsi="Aptos" w:cs="Arial"/>
        </w:rPr>
        <w:t xml:space="preserve">Ownership interests in the BIF are determined monthly at fair value based upon units of participation. Units of participation are calculated monthly based upon inflows and outflows as well as allocations of net earnings. </w:t>
      </w:r>
      <w:r w:rsidRPr="00F346C5">
        <w:rPr>
          <w:rFonts w:ascii="Aptos" w:hAnsi="Aptos" w:cs="Arial"/>
        </w:rPr>
        <w:t>Valuation of the underlying assets is performed by the custodian. Pool investments are measured at fair value in accordance with GASB Statement No. 72.</w:t>
      </w:r>
      <w:r w:rsidRPr="00F346C5">
        <w:rPr>
          <w:rFonts w:ascii="Aptos" w:hAnsi="Aptos" w:cs="Arial"/>
          <w:b/>
        </w:rPr>
        <w:t xml:space="preserve"> </w:t>
      </w:r>
      <w:r w:rsidRPr="00F346C5">
        <w:rPr>
          <w:rFonts w:ascii="Aptos" w:hAnsi="Aptos" w:cs="Arial"/>
        </w:rPr>
        <w:t>The College’s position in the pool is measured and reported at fair value and the BIF is not required to be categorized within the fair value hierarchy.</w:t>
      </w:r>
    </w:p>
    <w:p w14:paraId="405AA6EE" w14:textId="77777777" w:rsidR="009D62EA" w:rsidRPr="00F346C5" w:rsidRDefault="009D62EA" w:rsidP="009D62EA">
      <w:pPr>
        <w:spacing w:after="240" w:line="240" w:lineRule="auto"/>
        <w:jc w:val="both"/>
        <w:rPr>
          <w:rFonts w:ascii="Aptos" w:hAnsi="Aptos" w:cs="Arial"/>
          <w:b/>
          <w:i/>
          <w:color w:val="0000FF"/>
        </w:rPr>
      </w:pPr>
      <w:r w:rsidRPr="00F346C5">
        <w:rPr>
          <w:rFonts w:ascii="Aptos" w:hAnsi="Aptos" w:cs="Arial"/>
          <w:b/>
        </w:rPr>
        <w:t xml:space="preserve">Debt and Equity Securities </w:t>
      </w:r>
      <w:r w:rsidRPr="00F346C5">
        <w:rPr>
          <w:rFonts w:ascii="Aptos" w:hAnsi="Aptos" w:cs="Arial"/>
        </w:rPr>
        <w:t>-</w:t>
      </w:r>
      <w:r w:rsidRPr="00F346C5">
        <w:rPr>
          <w:rFonts w:ascii="Aptos" w:hAnsi="Aptos" w:cs="Arial"/>
          <w:b/>
          <w:i/>
        </w:rPr>
        <w:t xml:space="preserve"> </w:t>
      </w:r>
      <w:r w:rsidRPr="00F346C5">
        <w:rPr>
          <w:rFonts w:ascii="Aptos" w:hAnsi="Aptos" w:cs="Arial"/>
          <w:b/>
          <w:i/>
          <w:color w:val="0000FF"/>
        </w:rPr>
        <w:t xml:space="preserve">[Example – GASB Codification 3100.901, Illustration 5, Example 2: </w:t>
      </w:r>
      <w:r w:rsidRPr="00F346C5">
        <w:rPr>
          <w:rFonts w:ascii="Aptos" w:hAnsi="Aptos" w:cs="Arial"/>
          <w:color w:val="0000FF"/>
        </w:rPr>
        <w:t xml:space="preserve">Debt and equity securities classified in Level 1 of the fair value hierarchy are valued using prices quoted in active markets for those securities. Debt securities classified in Level 2 of the fair value hierarchy are valued using a matrix pricing technique. Matrix pricing is used to value securities based on the securities’ relationship to benchmark quoted prices. Commercial and residential mortgage-backed securities classified in Level 3 are valued using discounted cash flow techniques. Collateralized debt obligations classified in Level 3 are valued using consensus pricing. </w:t>
      </w:r>
      <w:r w:rsidRPr="00F346C5">
        <w:rPr>
          <w:rFonts w:ascii="Aptos" w:hAnsi="Aptos" w:cs="Arial"/>
          <w:b/>
          <w:i/>
          <w:color w:val="0000FF"/>
        </w:rPr>
        <w:t>Modify as necessary.]</w:t>
      </w:r>
    </w:p>
    <w:p w14:paraId="70C2E122" w14:textId="77777777" w:rsidR="009D62EA" w:rsidRPr="00F346C5" w:rsidRDefault="009D62EA" w:rsidP="009D62EA">
      <w:pPr>
        <w:spacing w:after="240" w:line="240" w:lineRule="auto"/>
        <w:jc w:val="both"/>
        <w:rPr>
          <w:rFonts w:ascii="Aptos" w:hAnsi="Aptos" w:cs="Arial"/>
          <w:b/>
          <w:i/>
          <w:color w:val="0000FF"/>
        </w:rPr>
      </w:pPr>
      <w:r w:rsidRPr="00F346C5">
        <w:rPr>
          <w:rFonts w:ascii="Aptos" w:hAnsi="Aptos" w:cs="Arial"/>
          <w:b/>
          <w:i/>
          <w:color w:val="0000FF"/>
        </w:rPr>
        <w:t>[Note to Preparer: the paragraph above is example language and should be modified as necessary to describe the valuation technique(s) applied to the College’s specific debt and equity securities classified in Levels 1, 2 and 3. If a level includes securities that are not all valued using the same technique, a description of each of the securities and its respective valuation technique should be included. See last two sentences of the paragraph above for example.]</w:t>
      </w:r>
    </w:p>
    <w:p w14:paraId="7F43CC09" w14:textId="3256F8C7" w:rsidR="009D62EA" w:rsidRPr="00F346C5" w:rsidRDefault="009D62EA" w:rsidP="009D62EA">
      <w:pPr>
        <w:spacing w:after="240" w:line="240" w:lineRule="auto"/>
        <w:jc w:val="both"/>
        <w:rPr>
          <w:rFonts w:ascii="Aptos" w:hAnsi="Aptos" w:cs="Arial"/>
          <w:b/>
          <w:i/>
          <w:color w:val="0000FF"/>
        </w:rPr>
      </w:pPr>
      <w:r w:rsidRPr="00F346C5">
        <w:rPr>
          <w:rFonts w:ascii="Aptos" w:hAnsi="Aptos" w:cs="Arial"/>
        </w:rPr>
        <w:t xml:space="preserve">The following table presents the valuation of investments measured at the Net Asset Value (NAV) per share (or its equivalent) at </w:t>
      </w:r>
      <w:r w:rsidR="00D001EB" w:rsidRPr="00F346C5">
        <w:rPr>
          <w:rFonts w:ascii="Aptos" w:hAnsi="Aptos" w:cs="Arial"/>
        </w:rPr>
        <w:t xml:space="preserve">June 30, </w:t>
      </w:r>
      <w:r w:rsidR="00D001EB" w:rsidRPr="0019002A">
        <w:rPr>
          <w:rFonts w:ascii="Aptos" w:hAnsi="Aptos" w:cs="Arial"/>
        </w:rPr>
        <w:t>202</w:t>
      </w:r>
      <w:r w:rsidR="00087AE5" w:rsidRPr="0019002A">
        <w:rPr>
          <w:rFonts w:ascii="Aptos" w:hAnsi="Aptos" w:cs="Arial"/>
        </w:rPr>
        <w:t>6</w:t>
      </w:r>
      <w:r w:rsidR="00824906" w:rsidRPr="00F346C5">
        <w:rPr>
          <w:rFonts w:ascii="Aptos" w:hAnsi="Aptos" w:cs="Arial"/>
        </w:rPr>
        <w:t>:</w:t>
      </w:r>
      <w:r w:rsidRPr="00F346C5">
        <w:rPr>
          <w:rFonts w:ascii="Aptos" w:hAnsi="Aptos" w:cs="Arial"/>
          <w:b/>
          <w:i/>
        </w:rPr>
        <w:t xml:space="preserve"> </w:t>
      </w:r>
      <w:r w:rsidRPr="00F346C5">
        <w:rPr>
          <w:rFonts w:ascii="Aptos" w:hAnsi="Aptos" w:cs="Arial"/>
          <w:b/>
          <w:i/>
          <w:color w:val="0000FF"/>
        </w:rPr>
        <w:t>[Modify as necessary.]</w:t>
      </w:r>
    </w:p>
    <w:bookmarkStart w:id="134" w:name="_MON_1621765898"/>
    <w:bookmarkEnd w:id="134"/>
    <w:p w14:paraId="66F76AAE" w14:textId="411C9504" w:rsidR="009D62EA" w:rsidRPr="00F346C5" w:rsidRDefault="00A72825" w:rsidP="009D62EA">
      <w:pPr>
        <w:spacing w:after="240" w:line="240" w:lineRule="auto"/>
        <w:jc w:val="center"/>
        <w:rPr>
          <w:rFonts w:ascii="Aptos" w:hAnsi="Aptos" w:cs="Arial"/>
          <w:color w:val="0000FF"/>
        </w:rPr>
      </w:pPr>
      <w:r w:rsidRPr="00F346C5">
        <w:rPr>
          <w:rFonts w:ascii="Aptos" w:hAnsi="Aptos" w:cs="Arial"/>
          <w:color w:val="0000FF"/>
        </w:rPr>
        <w:object w:dxaOrig="12077" w:dyaOrig="4819" w14:anchorId="1EA3E29F">
          <v:shape id="_x0000_i1032" type="#_x0000_t75" style="width:461.25pt;height:211.5pt" o:ole="">
            <v:imagedata r:id="rId39" o:title=""/>
          </v:shape>
          <o:OLEObject Type="Embed" ProgID="Excel.Sheet.12" ShapeID="_x0000_i1032" DrawAspect="Content" ObjectID="_1843297335" r:id="rId40"/>
        </w:object>
      </w:r>
    </w:p>
    <w:p w14:paraId="3CC48754" w14:textId="77777777" w:rsidR="009D62EA" w:rsidRPr="00F346C5" w:rsidRDefault="009D62EA" w:rsidP="009D62EA">
      <w:pPr>
        <w:spacing w:line="240" w:lineRule="auto"/>
        <w:jc w:val="both"/>
        <w:rPr>
          <w:rFonts w:ascii="Aptos" w:hAnsi="Aptos" w:cs="Arial"/>
          <w:b/>
        </w:rPr>
      </w:pPr>
      <w:r w:rsidRPr="00F346C5">
        <w:rPr>
          <w:rFonts w:ascii="Aptos" w:hAnsi="Aptos" w:cs="Arial"/>
          <w:b/>
          <w:i/>
          <w:color w:val="0000FF"/>
        </w:rPr>
        <w:t xml:space="preserve">Note to Preparer: Per GASB Codification 3100.163 specific disclosures regarding each type of investment measured at the NAV (or its equivalent) are required. Tickmarks A-E in the </w:t>
      </w:r>
      <w:r w:rsidRPr="00F346C5">
        <w:rPr>
          <w:rFonts w:ascii="Aptos" w:hAnsi="Aptos" w:cs="Arial"/>
          <w:b/>
          <w:i/>
          <w:color w:val="0000FF"/>
        </w:rPr>
        <w:lastRenderedPageBreak/>
        <w:t>table above should each be discussed in separate paragraphs. See GASB Codification 3100.163 for the specific requirements to be disclosed.</w:t>
      </w:r>
    </w:p>
    <w:p w14:paraId="5A886D7E" w14:textId="77777777" w:rsidR="009D62EA" w:rsidRPr="00F346C5" w:rsidRDefault="009D62EA" w:rsidP="009D62EA">
      <w:pPr>
        <w:spacing w:after="240" w:line="240" w:lineRule="auto"/>
        <w:ind w:left="720" w:hanging="360"/>
        <w:jc w:val="both"/>
        <w:rPr>
          <w:rFonts w:ascii="Aptos" w:hAnsi="Aptos" w:cs="Arial"/>
          <w:b/>
          <w:i/>
          <w:color w:val="0000FF"/>
        </w:rPr>
      </w:pPr>
      <w:r w:rsidRPr="00F346C5">
        <w:rPr>
          <w:rFonts w:ascii="Aptos" w:hAnsi="Aptos" w:cs="Arial"/>
          <w:b/>
        </w:rPr>
        <w:t>A.</w:t>
      </w:r>
      <w:r w:rsidRPr="00F346C5">
        <w:rPr>
          <w:rFonts w:ascii="Aptos" w:hAnsi="Aptos" w:cs="Arial"/>
          <w:b/>
          <w:i/>
        </w:rPr>
        <w:tab/>
      </w:r>
      <w:r w:rsidRPr="00F346C5">
        <w:rPr>
          <w:rFonts w:ascii="Aptos" w:hAnsi="Aptos" w:cs="Arial"/>
          <w:b/>
        </w:rPr>
        <w:t>Real Estate Investment Trusts</w:t>
      </w:r>
      <w:r w:rsidRPr="00F346C5">
        <w:rPr>
          <w:rFonts w:ascii="Aptos" w:hAnsi="Aptos" w:cs="Arial"/>
        </w:rPr>
        <w:t xml:space="preserve"> - </w:t>
      </w:r>
      <w:r w:rsidRPr="00F346C5">
        <w:rPr>
          <w:rFonts w:ascii="Aptos" w:hAnsi="Aptos" w:cs="Arial"/>
          <w:b/>
          <w:i/>
          <w:color w:val="0000FF"/>
        </w:rPr>
        <w:t>[Modify as necessary.]</w:t>
      </w:r>
    </w:p>
    <w:p w14:paraId="3EDD5BA8" w14:textId="77777777" w:rsidR="009D62EA" w:rsidRPr="00F346C5" w:rsidRDefault="009D62EA" w:rsidP="009D62EA">
      <w:pPr>
        <w:spacing w:after="240" w:line="240" w:lineRule="auto"/>
        <w:ind w:left="720" w:hanging="360"/>
        <w:jc w:val="both"/>
        <w:rPr>
          <w:rFonts w:ascii="Aptos" w:hAnsi="Aptos" w:cs="Arial"/>
          <w:b/>
          <w:i/>
          <w:color w:val="0000FF"/>
        </w:rPr>
      </w:pPr>
      <w:r w:rsidRPr="00F346C5">
        <w:rPr>
          <w:rFonts w:ascii="Aptos" w:hAnsi="Aptos" w:cs="Arial"/>
          <w:b/>
        </w:rPr>
        <w:t xml:space="preserve">B. </w:t>
      </w:r>
      <w:r w:rsidRPr="00F346C5">
        <w:rPr>
          <w:rFonts w:ascii="Aptos" w:hAnsi="Aptos" w:cs="Arial"/>
          <w:b/>
        </w:rPr>
        <w:tab/>
        <w:t>Hedge Funds</w:t>
      </w:r>
      <w:r w:rsidRPr="00F346C5">
        <w:rPr>
          <w:rFonts w:ascii="Aptos" w:hAnsi="Aptos" w:cs="Arial"/>
        </w:rPr>
        <w:t xml:space="preserve"> - </w:t>
      </w:r>
      <w:r w:rsidRPr="00F346C5">
        <w:rPr>
          <w:rFonts w:ascii="Aptos" w:hAnsi="Aptos" w:cs="Arial"/>
          <w:b/>
          <w:i/>
          <w:color w:val="0000FF"/>
        </w:rPr>
        <w:t xml:space="preserve">[Example language for an equity long/short hedge fund </w:t>
      </w:r>
      <w:r w:rsidRPr="00F346C5">
        <w:rPr>
          <w:rFonts w:ascii="Aptos" w:hAnsi="Aptos" w:cs="Arial"/>
          <w:b/>
          <w:color w:val="0000FF"/>
        </w:rPr>
        <w:t>per GASB Codification 3100.901, Illustration 4, Example 2.</w:t>
      </w:r>
      <w:r w:rsidRPr="00F346C5">
        <w:rPr>
          <w:rFonts w:ascii="Aptos" w:hAnsi="Aptos" w:cs="Arial"/>
          <w:color w:val="0000FF"/>
        </w:rPr>
        <w:t xml:space="preserve"> </w:t>
      </w:r>
      <w:r w:rsidRPr="00F346C5">
        <w:rPr>
          <w:rFonts w:ascii="Aptos" w:hAnsi="Aptos" w:cs="Arial"/>
          <w:b/>
          <w:i/>
          <w:color w:val="0000FF"/>
        </w:rPr>
        <w:t>Modify as necessary.]</w:t>
      </w:r>
    </w:p>
    <w:p w14:paraId="4D12108D" w14:textId="77777777" w:rsidR="009D62EA" w:rsidRPr="00F346C5" w:rsidRDefault="009D62EA" w:rsidP="009D62EA">
      <w:pPr>
        <w:spacing w:after="240" w:line="240" w:lineRule="auto"/>
        <w:ind w:left="720" w:hanging="360"/>
        <w:jc w:val="both"/>
        <w:rPr>
          <w:rFonts w:ascii="Aptos" w:hAnsi="Aptos" w:cs="Arial"/>
          <w:b/>
        </w:rPr>
      </w:pPr>
      <w:r w:rsidRPr="00F346C5">
        <w:rPr>
          <w:rFonts w:ascii="Aptos" w:hAnsi="Aptos" w:cs="Arial"/>
          <w:b/>
        </w:rPr>
        <w:t xml:space="preserve">C. </w:t>
      </w:r>
      <w:r w:rsidRPr="00F346C5">
        <w:rPr>
          <w:rFonts w:ascii="Aptos" w:hAnsi="Aptos" w:cs="Arial"/>
          <w:b/>
        </w:rPr>
        <w:tab/>
        <w:t>Private Equity Limited Partnerships</w:t>
      </w:r>
      <w:r w:rsidRPr="00F346C5">
        <w:rPr>
          <w:rFonts w:ascii="Aptos" w:hAnsi="Aptos" w:cs="Arial"/>
        </w:rPr>
        <w:t xml:space="preserve"> -</w:t>
      </w:r>
      <w:r w:rsidRPr="00F346C5">
        <w:rPr>
          <w:rFonts w:ascii="Aptos" w:hAnsi="Aptos" w:cs="Arial"/>
          <w:b/>
        </w:rPr>
        <w:t xml:space="preserve"> </w:t>
      </w:r>
      <w:r w:rsidRPr="00F346C5">
        <w:rPr>
          <w:rFonts w:ascii="Aptos" w:hAnsi="Aptos" w:cs="Arial"/>
          <w:b/>
          <w:color w:val="0000FF"/>
        </w:rPr>
        <w:t>[Modify as necessary.]</w:t>
      </w:r>
    </w:p>
    <w:p w14:paraId="4911C6DE" w14:textId="77777777" w:rsidR="009D62EA" w:rsidRPr="00F346C5" w:rsidRDefault="009D62EA" w:rsidP="009D62EA">
      <w:pPr>
        <w:spacing w:after="240" w:line="240" w:lineRule="auto"/>
        <w:ind w:left="720" w:hanging="360"/>
        <w:jc w:val="both"/>
        <w:rPr>
          <w:rFonts w:ascii="Aptos" w:hAnsi="Aptos" w:cs="Arial"/>
          <w:b/>
        </w:rPr>
      </w:pPr>
      <w:r w:rsidRPr="00F346C5">
        <w:rPr>
          <w:rFonts w:ascii="Aptos" w:hAnsi="Aptos" w:cs="Arial"/>
          <w:b/>
        </w:rPr>
        <w:t xml:space="preserve">D. </w:t>
      </w:r>
      <w:r w:rsidRPr="00F346C5">
        <w:rPr>
          <w:rFonts w:ascii="Aptos" w:hAnsi="Aptos" w:cs="Arial"/>
          <w:b/>
        </w:rPr>
        <w:tab/>
        <w:t>Real Assets Limited Partnerships</w:t>
      </w:r>
      <w:r w:rsidRPr="00F346C5">
        <w:rPr>
          <w:rFonts w:ascii="Aptos" w:hAnsi="Aptos" w:cs="Arial"/>
        </w:rPr>
        <w:t xml:space="preserve"> - </w:t>
      </w:r>
      <w:r w:rsidRPr="00F346C5">
        <w:rPr>
          <w:rFonts w:ascii="Aptos" w:hAnsi="Aptos" w:cs="Arial"/>
          <w:b/>
          <w:i/>
          <w:color w:val="0000FF"/>
        </w:rPr>
        <w:t>[Modify as necessary.]</w:t>
      </w:r>
    </w:p>
    <w:p w14:paraId="4A06FDBA" w14:textId="77777777" w:rsidR="009D62EA" w:rsidRPr="00F346C5" w:rsidRDefault="009D62EA" w:rsidP="009D62EA">
      <w:pPr>
        <w:spacing w:after="240" w:line="240" w:lineRule="auto"/>
        <w:ind w:left="720" w:hanging="360"/>
        <w:jc w:val="both"/>
        <w:rPr>
          <w:rFonts w:ascii="Aptos" w:hAnsi="Aptos" w:cs="Arial"/>
          <w:b/>
          <w:i/>
          <w:color w:val="0000FF"/>
        </w:rPr>
      </w:pPr>
      <w:r w:rsidRPr="00F346C5">
        <w:rPr>
          <w:rFonts w:ascii="Aptos" w:hAnsi="Aptos" w:cs="Arial"/>
          <w:b/>
        </w:rPr>
        <w:t xml:space="preserve">E. </w:t>
      </w:r>
      <w:r w:rsidRPr="00F346C5">
        <w:rPr>
          <w:rFonts w:ascii="Aptos" w:hAnsi="Aptos" w:cs="Arial"/>
          <w:b/>
        </w:rPr>
        <w:tab/>
        <w:t>Other Limited Partnerships</w:t>
      </w:r>
      <w:r w:rsidRPr="00F346C5">
        <w:rPr>
          <w:rFonts w:ascii="Aptos" w:hAnsi="Aptos" w:cs="Arial"/>
        </w:rPr>
        <w:t xml:space="preserve"> - </w:t>
      </w:r>
      <w:r w:rsidRPr="00F346C5">
        <w:rPr>
          <w:rFonts w:ascii="Aptos" w:hAnsi="Aptos" w:cs="Arial"/>
          <w:b/>
          <w:i/>
          <w:color w:val="0000FF"/>
        </w:rPr>
        <w:t>[Modify as necessary.]</w:t>
      </w:r>
    </w:p>
    <w:p w14:paraId="0940A290" w14:textId="77777777" w:rsidR="009D62EA" w:rsidRPr="00F346C5" w:rsidRDefault="009D62EA" w:rsidP="009D62EA">
      <w:pPr>
        <w:spacing w:after="240" w:line="240" w:lineRule="auto"/>
        <w:ind w:left="720" w:hanging="360"/>
        <w:jc w:val="both"/>
        <w:rPr>
          <w:rFonts w:ascii="Aptos" w:hAnsi="Aptos" w:cs="Arial"/>
          <w:b/>
          <w:i/>
          <w:color w:val="0000FF"/>
        </w:rPr>
      </w:pPr>
      <w:r w:rsidRPr="00F346C5">
        <w:rPr>
          <w:rFonts w:ascii="Aptos" w:hAnsi="Aptos" w:cs="Arial"/>
          <w:b/>
        </w:rPr>
        <w:t>F.</w:t>
      </w:r>
      <w:r w:rsidRPr="00F346C5">
        <w:rPr>
          <w:rFonts w:ascii="Aptos" w:hAnsi="Aptos" w:cs="Arial"/>
          <w:b/>
          <w:i/>
          <w:color w:val="0000FF"/>
        </w:rPr>
        <w:t xml:space="preserve"> </w:t>
      </w:r>
      <w:r w:rsidRPr="00F346C5">
        <w:rPr>
          <w:rFonts w:ascii="Aptos" w:hAnsi="Aptos" w:cs="Arial"/>
          <w:b/>
          <w:i/>
          <w:color w:val="0000FF"/>
        </w:rPr>
        <w:tab/>
      </w:r>
      <w:r w:rsidRPr="00F346C5">
        <w:rPr>
          <w:rFonts w:ascii="Aptos" w:hAnsi="Aptos" w:cs="Arial"/>
          <w:b/>
        </w:rPr>
        <w:t xml:space="preserve">Pooled Investments </w:t>
      </w:r>
      <w:r w:rsidRPr="00F346C5">
        <w:rPr>
          <w:rFonts w:ascii="Aptos" w:hAnsi="Aptos" w:cs="Arial"/>
        </w:rPr>
        <w:t xml:space="preserve">- </w:t>
      </w:r>
      <w:r w:rsidRPr="00F346C5">
        <w:rPr>
          <w:rFonts w:ascii="Aptos" w:hAnsi="Aptos" w:cs="Arial"/>
          <w:b/>
          <w:i/>
          <w:color w:val="0000FF"/>
        </w:rPr>
        <w:t>[Modify as necessary.]</w:t>
      </w:r>
    </w:p>
    <w:p w14:paraId="0FA92790" w14:textId="77777777" w:rsidR="009D62EA" w:rsidRPr="00F346C5" w:rsidRDefault="009D62EA" w:rsidP="009D62EA">
      <w:pPr>
        <w:tabs>
          <w:tab w:val="left" w:pos="1980"/>
          <w:tab w:val="left" w:pos="2160"/>
        </w:tabs>
        <w:spacing w:after="240" w:line="240" w:lineRule="auto"/>
        <w:jc w:val="both"/>
        <w:rPr>
          <w:rFonts w:ascii="Aptos" w:hAnsi="Aptos" w:cs="Arial"/>
          <w:b/>
        </w:rPr>
      </w:pPr>
      <w:r w:rsidRPr="00F346C5">
        <w:rPr>
          <w:rFonts w:ascii="Aptos" w:hAnsi="Aptos" w:cs="Arial"/>
          <w:b/>
        </w:rPr>
        <w:t>Component Unit(s)</w:t>
      </w:r>
      <w:r w:rsidRPr="00F346C5">
        <w:rPr>
          <w:rFonts w:ascii="Aptos" w:hAnsi="Aptos" w:cs="Arial"/>
        </w:rPr>
        <w:t xml:space="preserve"> -</w:t>
      </w:r>
      <w:r w:rsidRPr="00F346C5">
        <w:rPr>
          <w:rFonts w:ascii="Aptos" w:hAnsi="Aptos" w:cs="Arial"/>
          <w:b/>
        </w:rPr>
        <w:t xml:space="preserve"> </w:t>
      </w:r>
      <w:r w:rsidRPr="00F346C5">
        <w:rPr>
          <w:rFonts w:ascii="Aptos" w:hAnsi="Aptos" w:cs="Arial"/>
          <w:b/>
          <w:i/>
          <w:color w:val="0000FF"/>
        </w:rPr>
        <w:t>[If the College has discretely presented component units with fair value disclosures, provide disclosures as necessary based on the audit report(s) for those component units.]</w:t>
      </w:r>
    </w:p>
    <w:p w14:paraId="675F6A18" w14:textId="77777777" w:rsidR="009D62EA" w:rsidRPr="00F346C5" w:rsidRDefault="009D62EA"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r w:rsidRPr="00F346C5">
        <w:rPr>
          <w:rFonts w:ascii="Aptos" w:eastAsia="Times New Roman" w:hAnsi="Aptos" w:cs="Times New Roman"/>
          <w:b/>
          <w:kern w:val="28"/>
        </w:rPr>
        <w:t>Note 4</w:t>
      </w:r>
      <w:r w:rsidRPr="00F346C5">
        <w:rPr>
          <w:rFonts w:ascii="Aptos" w:eastAsia="Times New Roman" w:hAnsi="Aptos" w:cs="Times New Roman"/>
          <w:b/>
          <w:kern w:val="28"/>
        </w:rPr>
        <w:tab/>
        <w:t>-</w:t>
      </w:r>
      <w:r w:rsidRPr="00F346C5">
        <w:rPr>
          <w:rFonts w:ascii="Aptos" w:eastAsia="Times New Roman" w:hAnsi="Aptos" w:cs="Times New Roman"/>
          <w:b/>
          <w:kern w:val="28"/>
        </w:rPr>
        <w:tab/>
        <w:t>Endowment Investments</w:t>
      </w:r>
    </w:p>
    <w:p w14:paraId="5276100E" w14:textId="0E760C53" w:rsidR="009D62EA" w:rsidRPr="00F346C5" w:rsidRDefault="009D62EA" w:rsidP="009D62EA">
      <w:pPr>
        <w:spacing w:after="240" w:line="240" w:lineRule="auto"/>
        <w:jc w:val="both"/>
        <w:rPr>
          <w:rFonts w:ascii="Aptos" w:eastAsia="Times New Roman" w:hAnsi="Aptos" w:cs="Arial"/>
        </w:rPr>
      </w:pPr>
      <w:r w:rsidRPr="00F346C5">
        <w:rPr>
          <w:rFonts w:ascii="Aptos" w:eastAsia="Times New Roman" w:hAnsi="Aptos" w:cs="Arial"/>
        </w:rPr>
        <w:t xml:space="preserve">Investments of the College’s endowment funds are pooled, unless required to be separately invested by the donor. If a donor has not provided specific instructions, state law permits the Board of Trustees to authorize for expenditure the net appreciation, realized and unrealized, of the investments of the endowment funds. </w:t>
      </w:r>
      <w:r w:rsidR="00BC27E4" w:rsidRPr="005D40E9">
        <w:rPr>
          <w:rFonts w:ascii="Aptos" w:eastAsia="Times New Roman" w:hAnsi="Aptos" w:cs="Arial"/>
          <w:highlight w:val="yellow"/>
        </w:rPr>
        <w:t>Under Chapter 36E of the North Carolina General Statutes, otherwise known as the Uniform Prudent Management of Institutional Funds Act (UPMIFA),</w:t>
      </w:r>
      <w:r w:rsidRPr="00F346C5">
        <w:rPr>
          <w:rFonts w:ascii="Aptos" w:eastAsia="Times New Roman" w:hAnsi="Aptos" w:cs="Arial"/>
          <w:color w:val="000000"/>
        </w:rPr>
        <w:t xml:space="preserve"> the Board may also appropriate expenditures from eligible nonexpendable balances if deemed prudent and necessary to meet program outcomes and for which such</w:t>
      </w:r>
      <w:r w:rsidRPr="00F346C5">
        <w:rPr>
          <w:rFonts w:ascii="Aptos" w:eastAsia="Times New Roman" w:hAnsi="Aptos" w:cs="Arial"/>
        </w:rPr>
        <w:t xml:space="preserve"> spending is not specifically prohibited by the donor agreements. </w:t>
      </w:r>
      <w:r w:rsidRPr="00F346C5">
        <w:rPr>
          <w:rFonts w:ascii="Aptos" w:eastAsia="Times New Roman" w:hAnsi="Aptos" w:cs="Arial"/>
          <w:color w:val="0000FF"/>
        </w:rPr>
        <w:t xml:space="preserve">[However, a majority of the College’s endowment donor agreements prohibit spending of nonexpendable balances and therefore the related nonexpendable balances are not eligible for expenditure. </w:t>
      </w:r>
      <w:r w:rsidRPr="00F346C5">
        <w:rPr>
          <w:rFonts w:ascii="Aptos" w:eastAsia="Times New Roman" w:hAnsi="Aptos" w:cs="Arial"/>
          <w:b/>
          <w:i/>
          <w:color w:val="0000FF"/>
        </w:rPr>
        <w:t>Modify as necessary.</w:t>
      </w:r>
      <w:r w:rsidRPr="00F346C5">
        <w:rPr>
          <w:rFonts w:ascii="Aptos" w:eastAsia="Times New Roman" w:hAnsi="Aptos" w:cs="Arial"/>
          <w:color w:val="0000FF"/>
        </w:rPr>
        <w:t xml:space="preserve">] [During the year, the Board did not appropriate expenditures from eligible nonexpendable endowment funds. – </w:t>
      </w:r>
      <w:r w:rsidRPr="00F346C5">
        <w:rPr>
          <w:rFonts w:ascii="Aptos" w:eastAsia="Times New Roman" w:hAnsi="Aptos" w:cs="Arial"/>
          <w:b/>
          <w:i/>
          <w:color w:val="0000FF"/>
        </w:rPr>
        <w:t>or</w:t>
      </w:r>
      <w:r w:rsidRPr="00F346C5">
        <w:rPr>
          <w:rFonts w:ascii="Aptos" w:eastAsia="Times New Roman" w:hAnsi="Aptos" w:cs="Arial"/>
          <w:color w:val="0000FF"/>
        </w:rPr>
        <w:t xml:space="preserve"> - During the year, the Board appropriated $________ in expenditures from eligible nonexpendable endowment funds.]</w:t>
      </w:r>
    </w:p>
    <w:p w14:paraId="1652D429" w14:textId="77777777" w:rsidR="009D62EA" w:rsidRPr="00F346C5" w:rsidRDefault="009D62EA" w:rsidP="009D62EA">
      <w:pPr>
        <w:tabs>
          <w:tab w:val="left" w:pos="1560"/>
        </w:tabs>
        <w:spacing w:after="240" w:line="240" w:lineRule="auto"/>
        <w:jc w:val="center"/>
        <w:rPr>
          <w:rFonts w:ascii="Aptos" w:eastAsia="Times New Roman" w:hAnsi="Aptos" w:cs="Arial"/>
          <w:b/>
          <w:i/>
          <w:color w:val="0000FF"/>
        </w:rPr>
      </w:pPr>
      <w:r w:rsidRPr="00F346C5">
        <w:rPr>
          <w:rFonts w:ascii="Aptos" w:eastAsia="Times New Roman" w:hAnsi="Aptos" w:cs="Arial"/>
          <w:b/>
          <w:i/>
          <w:color w:val="0000FF"/>
        </w:rPr>
        <w:t>[For Colleges using the total return concept an example follows.]</w:t>
      </w:r>
    </w:p>
    <w:p w14:paraId="02A1F207" w14:textId="61C390B6" w:rsidR="009D62EA" w:rsidRPr="00F346C5" w:rsidRDefault="009D62EA" w:rsidP="009D62EA">
      <w:pPr>
        <w:spacing w:after="240" w:line="240" w:lineRule="auto"/>
        <w:jc w:val="both"/>
        <w:rPr>
          <w:rFonts w:ascii="Aptos" w:eastAsia="Times New Roman" w:hAnsi="Aptos" w:cs="Arial"/>
        </w:rPr>
      </w:pPr>
      <w:r w:rsidRPr="00F346C5">
        <w:rPr>
          <w:rFonts w:ascii="Aptos" w:eastAsia="Times New Roman" w:hAnsi="Aptos" w:cs="Arial"/>
        </w:rPr>
        <w:t xml:space="preserve">Investment return of the College’s endowment funds is predicated on the total return concept (yield plus appreciation). </w:t>
      </w:r>
      <w:r w:rsidRPr="00F346C5">
        <w:rPr>
          <w:rFonts w:ascii="Aptos" w:hAnsi="Aptos" w:cs="Arial"/>
          <w:color w:val="0000FF"/>
        </w:rPr>
        <w:t>[GASB Codification 2300.123 requires the disclosure of the College’s policy for authorizing and spending investment income. Inset here.]</w:t>
      </w:r>
      <w:r w:rsidRPr="00F346C5">
        <w:rPr>
          <w:rFonts w:ascii="Aptos" w:hAnsi="Aptos" w:cs="Arial"/>
        </w:rPr>
        <w:t xml:space="preserve"> </w:t>
      </w:r>
      <w:r w:rsidRPr="00F346C5">
        <w:rPr>
          <w:rFonts w:ascii="Aptos" w:eastAsia="Times New Roman" w:hAnsi="Aptos" w:cs="Arial"/>
        </w:rPr>
        <w:t xml:space="preserve">At </w:t>
      </w:r>
      <w:r w:rsidR="00D001EB" w:rsidRPr="00F346C5">
        <w:rPr>
          <w:rFonts w:ascii="Aptos" w:eastAsia="Times New Roman" w:hAnsi="Aptos" w:cs="Arial"/>
        </w:rPr>
        <w:t xml:space="preserve">June 30, </w:t>
      </w:r>
      <w:r w:rsidR="00D001EB" w:rsidRPr="0019002A">
        <w:rPr>
          <w:rFonts w:ascii="Aptos" w:eastAsia="Times New Roman" w:hAnsi="Aptos" w:cs="Arial"/>
        </w:rPr>
        <w:t>202</w:t>
      </w:r>
      <w:r w:rsidR="00D521F2" w:rsidRPr="0019002A">
        <w:rPr>
          <w:rFonts w:ascii="Aptos" w:eastAsia="Times New Roman" w:hAnsi="Aptos" w:cs="Arial"/>
        </w:rPr>
        <w:t>6</w:t>
      </w:r>
      <w:r w:rsidRPr="00F346C5">
        <w:rPr>
          <w:rFonts w:ascii="Aptos" w:eastAsia="Times New Roman" w:hAnsi="Aptos" w:cs="Arial"/>
        </w:rPr>
        <w:t xml:space="preserve">, net appreciation of $__________ was available to be spent, of which $____________ was classified in net position as </w:t>
      </w:r>
      <w:r w:rsidRPr="00F346C5">
        <w:rPr>
          <w:rFonts w:ascii="Aptos" w:eastAsia="Times New Roman" w:hAnsi="Aptos" w:cs="Arial"/>
          <w:b/>
          <w:color w:val="0000FF"/>
        </w:rPr>
        <w:t>[classification (</w:t>
      </w:r>
      <w:r w:rsidR="00285F5A" w:rsidRPr="00F346C5">
        <w:rPr>
          <w:rFonts w:ascii="Aptos" w:eastAsia="Times New Roman" w:hAnsi="Aptos" w:cs="Arial"/>
          <w:b/>
          <w:color w:val="0000FF"/>
        </w:rPr>
        <w:t>e.g</w:t>
      </w:r>
      <w:r w:rsidRPr="00F346C5">
        <w:rPr>
          <w:rFonts w:ascii="Aptos" w:eastAsia="Times New Roman" w:hAnsi="Aptos" w:cs="Arial"/>
          <w:b/>
          <w:color w:val="0000FF"/>
        </w:rPr>
        <w:t>. restricted: expendable: student financial aid)]</w:t>
      </w:r>
      <w:r w:rsidRPr="00F346C5">
        <w:rPr>
          <w:rFonts w:ascii="Aptos" w:eastAsia="Times New Roman" w:hAnsi="Aptos" w:cs="Arial"/>
        </w:rPr>
        <w:t xml:space="preserve"> as it is restricted for specific purposes. The remaining portion of net appreciation available to be spent is classified as unrestricted net position. </w:t>
      </w:r>
      <w:r w:rsidRPr="00F346C5">
        <w:rPr>
          <w:rFonts w:ascii="Aptos" w:eastAsia="Times New Roman" w:hAnsi="Aptos" w:cs="Arial"/>
          <w:b/>
          <w:i/>
          <w:color w:val="0000FF"/>
        </w:rPr>
        <w:t>[Modify as Necessary.]</w:t>
      </w:r>
    </w:p>
    <w:p w14:paraId="19CEB4D0" w14:textId="77777777" w:rsidR="009D62EA" w:rsidRPr="00F346C5" w:rsidRDefault="009D62EA" w:rsidP="009D62EA">
      <w:pPr>
        <w:tabs>
          <w:tab w:val="left" w:pos="1560"/>
        </w:tabs>
        <w:spacing w:after="240" w:line="240" w:lineRule="auto"/>
        <w:jc w:val="center"/>
        <w:rPr>
          <w:rFonts w:ascii="Aptos" w:eastAsia="Times New Roman" w:hAnsi="Aptos" w:cs="Arial"/>
          <w:b/>
          <w:i/>
          <w:color w:val="0000FF"/>
        </w:rPr>
      </w:pPr>
      <w:r w:rsidRPr="00F346C5">
        <w:rPr>
          <w:rFonts w:ascii="Aptos" w:eastAsia="Times New Roman" w:hAnsi="Aptos" w:cs="Arial"/>
          <w:b/>
          <w:i/>
          <w:color w:val="0000FF"/>
        </w:rPr>
        <w:t>OR</w:t>
      </w:r>
    </w:p>
    <w:p w14:paraId="29FB40DF" w14:textId="77777777" w:rsidR="009D62EA" w:rsidRPr="00F346C5" w:rsidRDefault="009D62EA" w:rsidP="009D62EA">
      <w:pPr>
        <w:tabs>
          <w:tab w:val="left" w:pos="1560"/>
        </w:tabs>
        <w:spacing w:after="240" w:line="240" w:lineRule="auto"/>
        <w:jc w:val="center"/>
        <w:rPr>
          <w:rFonts w:ascii="Aptos" w:eastAsia="Times New Roman" w:hAnsi="Aptos" w:cs="Arial"/>
          <w:b/>
          <w:i/>
          <w:color w:val="0000FF"/>
        </w:rPr>
      </w:pPr>
      <w:r w:rsidRPr="00F346C5">
        <w:rPr>
          <w:rFonts w:ascii="Aptos" w:eastAsia="Times New Roman" w:hAnsi="Aptos" w:cs="Arial"/>
          <w:b/>
          <w:i/>
          <w:color w:val="0000FF"/>
        </w:rPr>
        <w:t>[For Colleges not using the total return concept an example follows.]</w:t>
      </w:r>
    </w:p>
    <w:p w14:paraId="26F4630F" w14:textId="269377AD" w:rsidR="009D62EA" w:rsidRPr="00F346C5" w:rsidRDefault="009D62EA" w:rsidP="009D62EA">
      <w:pPr>
        <w:spacing w:after="240" w:line="240" w:lineRule="auto"/>
        <w:jc w:val="both"/>
        <w:rPr>
          <w:rFonts w:ascii="Aptos" w:eastAsia="Times New Roman" w:hAnsi="Aptos" w:cs="Arial"/>
          <w:b/>
          <w:i/>
          <w:color w:val="0000FF"/>
        </w:rPr>
      </w:pPr>
      <w:r w:rsidRPr="00F346C5">
        <w:rPr>
          <w:rFonts w:ascii="Aptos" w:eastAsia="Times New Roman" w:hAnsi="Aptos" w:cs="Arial"/>
        </w:rPr>
        <w:lastRenderedPageBreak/>
        <w:t xml:space="preserve">Investment return of the College’s endowment funds is predicated under classical trust doctrines. Unless the donor has stipulated otherwise, capital gains and losses are accounted for as part of the endowment principal and are not available for expenditure. </w:t>
      </w:r>
      <w:r w:rsidRPr="00F346C5">
        <w:rPr>
          <w:rFonts w:ascii="Aptos" w:hAnsi="Aptos" w:cs="Arial"/>
          <w:color w:val="0000FF"/>
        </w:rPr>
        <w:t>[GASB Codification 2300.123 requires the disclosure of the College’s policy for authorizing and spending investment income. Inset here.]</w:t>
      </w:r>
      <w:r w:rsidRPr="00F346C5">
        <w:rPr>
          <w:rFonts w:ascii="Aptos" w:hAnsi="Aptos" w:cs="Arial"/>
        </w:rPr>
        <w:t xml:space="preserve"> </w:t>
      </w:r>
      <w:r w:rsidRPr="00F346C5">
        <w:rPr>
          <w:rFonts w:ascii="Aptos" w:eastAsia="Times New Roman" w:hAnsi="Aptos" w:cs="Arial"/>
        </w:rPr>
        <w:t xml:space="preserve">At </w:t>
      </w:r>
      <w:r w:rsidR="00D001EB" w:rsidRPr="00F346C5">
        <w:rPr>
          <w:rFonts w:ascii="Aptos" w:eastAsia="Times New Roman" w:hAnsi="Aptos" w:cs="Arial"/>
        </w:rPr>
        <w:t xml:space="preserve">June 30, </w:t>
      </w:r>
      <w:r w:rsidR="00D001EB" w:rsidRPr="0019002A">
        <w:rPr>
          <w:rFonts w:ascii="Aptos" w:eastAsia="Times New Roman" w:hAnsi="Aptos" w:cs="Arial"/>
        </w:rPr>
        <w:t>202</w:t>
      </w:r>
      <w:r w:rsidR="00D521F2" w:rsidRPr="0019002A">
        <w:rPr>
          <w:rFonts w:ascii="Aptos" w:eastAsia="Times New Roman" w:hAnsi="Aptos" w:cs="Arial"/>
        </w:rPr>
        <w:t>6</w:t>
      </w:r>
      <w:r w:rsidRPr="00F346C5">
        <w:rPr>
          <w:rFonts w:ascii="Aptos" w:eastAsia="Times New Roman" w:hAnsi="Aptos" w:cs="Arial"/>
        </w:rPr>
        <w:t xml:space="preserve">, net appreciation of $__________ was available to be spent, of which $____________ was classified in net position as </w:t>
      </w:r>
      <w:r w:rsidRPr="00F346C5">
        <w:rPr>
          <w:rFonts w:ascii="Aptos" w:eastAsia="Times New Roman" w:hAnsi="Aptos" w:cs="Arial"/>
          <w:b/>
          <w:color w:val="0000FF"/>
        </w:rPr>
        <w:t>[classification (</w:t>
      </w:r>
      <w:r w:rsidR="00285F5A" w:rsidRPr="00F346C5">
        <w:rPr>
          <w:rFonts w:ascii="Aptos" w:eastAsia="Times New Roman" w:hAnsi="Aptos" w:cs="Arial"/>
          <w:b/>
          <w:color w:val="0000FF"/>
        </w:rPr>
        <w:t>e.g</w:t>
      </w:r>
      <w:r w:rsidRPr="00F346C5">
        <w:rPr>
          <w:rFonts w:ascii="Aptos" w:eastAsia="Times New Roman" w:hAnsi="Aptos" w:cs="Arial"/>
          <w:b/>
          <w:color w:val="0000FF"/>
        </w:rPr>
        <w:t>. restricted: expendable: student financial aid)]</w:t>
      </w:r>
      <w:r w:rsidRPr="00F346C5">
        <w:rPr>
          <w:rFonts w:ascii="Aptos" w:eastAsia="Times New Roman" w:hAnsi="Aptos" w:cs="Arial"/>
        </w:rPr>
        <w:t xml:space="preserve"> as it is restricted for specific purposes. The remaining portion of net appreciation available to be spent is classified as unrestricted net position. </w:t>
      </w:r>
      <w:r w:rsidRPr="00F346C5">
        <w:rPr>
          <w:rFonts w:ascii="Aptos" w:eastAsia="Times New Roman" w:hAnsi="Aptos" w:cs="Arial"/>
          <w:b/>
          <w:i/>
          <w:color w:val="0000FF"/>
        </w:rPr>
        <w:t>[Modify as Necessary.]</w:t>
      </w:r>
    </w:p>
    <w:p w14:paraId="08890B32" w14:textId="0262EE5C" w:rsidR="009D62EA" w:rsidRPr="00F346C5" w:rsidRDefault="009D62EA" w:rsidP="009D62EA">
      <w:pPr>
        <w:spacing w:after="240" w:line="240" w:lineRule="auto"/>
        <w:jc w:val="both"/>
        <w:rPr>
          <w:rFonts w:ascii="Aptos" w:eastAsia="Times New Roman" w:hAnsi="Aptos" w:cs="Arial"/>
        </w:rPr>
      </w:pPr>
      <w:r w:rsidRPr="00F346C5">
        <w:rPr>
          <w:rFonts w:ascii="Aptos" w:eastAsia="Times New Roman" w:hAnsi="Aptos" w:cs="Arial"/>
        </w:rPr>
        <w:t xml:space="preserve">During the current year, the College incurred investment losses that exceeded the related endowment’s available accumulated income and net appreciation. These losses resulted in a reduction to the specific nonexpendable endowment balance. At </w:t>
      </w:r>
      <w:r w:rsidR="00D001EB" w:rsidRPr="00F346C5">
        <w:rPr>
          <w:rFonts w:ascii="Aptos" w:eastAsia="Times New Roman" w:hAnsi="Aptos" w:cs="Arial"/>
        </w:rPr>
        <w:t xml:space="preserve">June 30, </w:t>
      </w:r>
      <w:r w:rsidR="00D001EB" w:rsidRPr="0019002A">
        <w:rPr>
          <w:rFonts w:ascii="Aptos" w:eastAsia="Times New Roman" w:hAnsi="Aptos" w:cs="Arial"/>
        </w:rPr>
        <w:t>202</w:t>
      </w:r>
      <w:r w:rsidR="00D521F2" w:rsidRPr="0019002A">
        <w:rPr>
          <w:rFonts w:ascii="Aptos" w:eastAsia="Times New Roman" w:hAnsi="Aptos" w:cs="Arial"/>
        </w:rPr>
        <w:t>6</w:t>
      </w:r>
      <w:r w:rsidRPr="00F346C5">
        <w:rPr>
          <w:rFonts w:ascii="Aptos" w:eastAsia="Times New Roman" w:hAnsi="Aptos" w:cs="Arial"/>
        </w:rPr>
        <w:t xml:space="preserve"> the amount of investment losses reported against the nonexpendable endowment balances was $_________. </w:t>
      </w:r>
    </w:p>
    <w:p w14:paraId="0C7F415A" w14:textId="1DE5010B" w:rsidR="009D62EA" w:rsidRPr="00F346C5" w:rsidRDefault="009D62EA" w:rsidP="009D62EA">
      <w:pPr>
        <w:spacing w:after="240" w:line="240" w:lineRule="auto"/>
        <w:jc w:val="both"/>
        <w:rPr>
          <w:rFonts w:ascii="Aptos" w:eastAsia="Times New Roman" w:hAnsi="Aptos" w:cs="Arial"/>
          <w:i/>
          <w:iCs/>
          <w:color w:val="0000FF"/>
        </w:rPr>
      </w:pPr>
      <w:r w:rsidRPr="00F346C5">
        <w:rPr>
          <w:rFonts w:ascii="Aptos" w:eastAsia="Times New Roman" w:hAnsi="Aptos" w:cs="Arial"/>
          <w:b/>
          <w:bCs/>
          <w:i/>
          <w:iCs/>
          <w:color w:val="0000FF"/>
        </w:rPr>
        <w:t xml:space="preserve">OR </w:t>
      </w:r>
      <w:r w:rsidR="00277EF8" w:rsidRPr="00F346C5">
        <w:rPr>
          <w:rFonts w:ascii="Aptos" w:eastAsia="Times New Roman" w:hAnsi="Aptos" w:cs="Arial"/>
          <w:b/>
          <w:bCs/>
          <w:i/>
          <w:iCs/>
          <w:color w:val="0000FF"/>
        </w:rPr>
        <w:t>[</w:t>
      </w:r>
      <w:r w:rsidRPr="00F346C5">
        <w:rPr>
          <w:rFonts w:ascii="Aptos" w:eastAsia="Times New Roman" w:hAnsi="Aptos" w:cs="Arial"/>
          <w:b/>
          <w:bCs/>
          <w:i/>
          <w:iCs/>
          <w:color w:val="0000FF"/>
        </w:rPr>
        <w:t xml:space="preserve">For colleges that have endowments in STIF, therefore, no Investments on SNP use the following for </w:t>
      </w:r>
      <w:r w:rsidR="00277EF8" w:rsidRPr="00F346C5">
        <w:rPr>
          <w:rFonts w:ascii="Aptos" w:eastAsia="Times New Roman" w:hAnsi="Aptos" w:cs="Arial"/>
          <w:b/>
          <w:bCs/>
          <w:i/>
          <w:iCs/>
          <w:color w:val="0000FF"/>
        </w:rPr>
        <w:t>disclosure]</w:t>
      </w:r>
    </w:p>
    <w:p w14:paraId="08FAD86A" w14:textId="77777777" w:rsidR="009D62EA" w:rsidRPr="00F346C5" w:rsidRDefault="009D62EA"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r w:rsidRPr="00F346C5">
        <w:rPr>
          <w:rFonts w:ascii="Aptos" w:eastAsia="Times New Roman" w:hAnsi="Aptos" w:cs="Times New Roman"/>
          <w:b/>
          <w:kern w:val="28"/>
        </w:rPr>
        <w:t>Note 4</w:t>
      </w:r>
      <w:r w:rsidRPr="00F346C5">
        <w:rPr>
          <w:rFonts w:ascii="Aptos" w:eastAsia="Times New Roman" w:hAnsi="Aptos" w:cs="Times New Roman"/>
          <w:b/>
          <w:kern w:val="28"/>
        </w:rPr>
        <w:tab/>
        <w:t>-</w:t>
      </w:r>
      <w:r w:rsidRPr="00F346C5">
        <w:rPr>
          <w:rFonts w:ascii="Aptos" w:eastAsia="Times New Roman" w:hAnsi="Aptos" w:cs="Times New Roman"/>
          <w:b/>
          <w:kern w:val="28"/>
        </w:rPr>
        <w:tab/>
        <w:t>Donor Restricted Endowments</w:t>
      </w:r>
    </w:p>
    <w:p w14:paraId="1A4D0F43" w14:textId="285EEFFA" w:rsidR="009D62EA" w:rsidRPr="00F346C5" w:rsidRDefault="009D62EA" w:rsidP="009D62EA">
      <w:pPr>
        <w:spacing w:after="240" w:line="240" w:lineRule="auto"/>
        <w:jc w:val="both"/>
        <w:rPr>
          <w:rFonts w:ascii="Aptos" w:eastAsia="Times New Roman" w:hAnsi="Aptos" w:cs="Arial"/>
        </w:rPr>
      </w:pPr>
      <w:r w:rsidRPr="00F346C5">
        <w:rPr>
          <w:rFonts w:ascii="Aptos" w:eastAsia="Times New Roman" w:hAnsi="Aptos" w:cs="Arial"/>
        </w:rPr>
        <w:t xml:space="preserve">The College’s endowment assets are pooled with state agencies and similar institutions in short-term investments with the State Treasurer’s Cash and Investment Pool and are reported as restricted cash and cash equivalents - noncurrent on the accompanying financial statements. If a donor has not provided specific instructions, state law permits the Board of Trustees to authorize for expenditure the net appreciation, realized, and unrealized, of the assets of the endowment funds. Annual payouts from the College’s endowment funds are based on an adopted spending policy, which limits spending to 100% of the interest earnings unless the donor has stipulated otherwise. At </w:t>
      </w:r>
      <w:r w:rsidR="00D001EB" w:rsidRPr="00F346C5">
        <w:rPr>
          <w:rFonts w:ascii="Aptos" w:eastAsia="Times New Roman" w:hAnsi="Aptos" w:cs="Arial"/>
        </w:rPr>
        <w:t xml:space="preserve">June 30, </w:t>
      </w:r>
      <w:r w:rsidR="00D001EB" w:rsidRPr="0019002A">
        <w:rPr>
          <w:rFonts w:ascii="Aptos" w:eastAsia="Times New Roman" w:hAnsi="Aptos" w:cs="Arial"/>
        </w:rPr>
        <w:t>202</w:t>
      </w:r>
      <w:r w:rsidR="00D521F2" w:rsidRPr="0019002A">
        <w:rPr>
          <w:rFonts w:ascii="Aptos" w:eastAsia="Times New Roman" w:hAnsi="Aptos" w:cs="Arial"/>
        </w:rPr>
        <w:t>6</w:t>
      </w:r>
      <w:r w:rsidRPr="00F346C5">
        <w:rPr>
          <w:rFonts w:ascii="Aptos" w:eastAsia="Times New Roman" w:hAnsi="Aptos" w:cs="Arial"/>
        </w:rPr>
        <w:t xml:space="preserve">, net appreciation of $________ was available to be spent, of which $_________ was classified in net position as </w:t>
      </w:r>
      <w:r w:rsidRPr="00F346C5">
        <w:rPr>
          <w:rFonts w:ascii="Aptos" w:eastAsia="Times New Roman" w:hAnsi="Aptos" w:cs="Arial"/>
          <w:b/>
          <w:color w:val="0000FF"/>
        </w:rPr>
        <w:t>[classification (</w:t>
      </w:r>
      <w:r w:rsidR="00285F5A" w:rsidRPr="00F346C5">
        <w:rPr>
          <w:rFonts w:ascii="Aptos" w:eastAsia="Times New Roman" w:hAnsi="Aptos" w:cs="Arial"/>
          <w:b/>
          <w:color w:val="0000FF"/>
        </w:rPr>
        <w:t>e.g</w:t>
      </w:r>
      <w:r w:rsidRPr="00F346C5">
        <w:rPr>
          <w:rFonts w:ascii="Aptos" w:eastAsia="Times New Roman" w:hAnsi="Aptos" w:cs="Arial"/>
          <w:b/>
          <w:color w:val="0000FF"/>
        </w:rPr>
        <w:t>. restricted: expendable: student financial aid)]</w:t>
      </w:r>
      <w:r w:rsidRPr="00F346C5">
        <w:rPr>
          <w:rFonts w:ascii="Aptos" w:eastAsia="Times New Roman" w:hAnsi="Aptos" w:cs="Arial"/>
        </w:rPr>
        <w:t xml:space="preserve"> as it is restricted for specific purposes. The remaining portion of net appreciation available to be spent is classified as unrestricted net position. </w:t>
      </w:r>
      <w:r w:rsidRPr="00F346C5">
        <w:rPr>
          <w:rFonts w:ascii="Aptos" w:eastAsia="Times New Roman" w:hAnsi="Aptos" w:cs="Arial"/>
          <w:b/>
          <w:i/>
          <w:color w:val="0000FF"/>
        </w:rPr>
        <w:t>[Modify as Necessary.]</w:t>
      </w:r>
    </w:p>
    <w:p w14:paraId="194F2C06" w14:textId="77777777" w:rsidR="009D62EA" w:rsidRPr="00F346C5" w:rsidRDefault="009D62EA"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r w:rsidRPr="00F346C5">
        <w:rPr>
          <w:rFonts w:ascii="Aptos" w:eastAsia="Times New Roman" w:hAnsi="Aptos" w:cs="Times New Roman"/>
          <w:b/>
          <w:kern w:val="28"/>
        </w:rPr>
        <w:t>Note 5</w:t>
      </w:r>
      <w:r w:rsidRPr="00F346C5">
        <w:rPr>
          <w:rFonts w:ascii="Aptos" w:eastAsia="Times New Roman" w:hAnsi="Aptos" w:cs="Times New Roman"/>
          <w:b/>
          <w:kern w:val="28"/>
        </w:rPr>
        <w:tab/>
        <w:t>-</w:t>
      </w:r>
      <w:r w:rsidRPr="00F346C5">
        <w:rPr>
          <w:rFonts w:ascii="Aptos" w:eastAsia="Times New Roman" w:hAnsi="Aptos" w:cs="Times New Roman"/>
          <w:b/>
          <w:kern w:val="28"/>
        </w:rPr>
        <w:tab/>
        <w:t>Receivables</w:t>
      </w:r>
    </w:p>
    <w:p w14:paraId="0D589BE1" w14:textId="5D291845" w:rsidR="009D62EA" w:rsidRPr="00F346C5" w:rsidRDefault="009D62EA" w:rsidP="009D62EA">
      <w:pPr>
        <w:spacing w:after="240" w:line="240" w:lineRule="auto"/>
        <w:jc w:val="both"/>
        <w:rPr>
          <w:rFonts w:ascii="Aptos" w:eastAsia="Times New Roman" w:hAnsi="Aptos" w:cs="Arial"/>
          <w:b/>
          <w:i/>
          <w:color w:val="0000FF"/>
        </w:rPr>
      </w:pPr>
      <w:r w:rsidRPr="00F346C5">
        <w:rPr>
          <w:rFonts w:ascii="Aptos" w:eastAsia="Times New Roman" w:hAnsi="Aptos" w:cs="Arial"/>
        </w:rPr>
        <w:t xml:space="preserve">Receivables at </w:t>
      </w:r>
      <w:r w:rsidR="00D001EB" w:rsidRPr="00F346C5">
        <w:rPr>
          <w:rFonts w:ascii="Aptos" w:eastAsia="Times New Roman" w:hAnsi="Aptos" w:cs="Arial"/>
        </w:rPr>
        <w:t xml:space="preserve">June 30, </w:t>
      </w:r>
      <w:r w:rsidR="00D521F2" w:rsidRPr="0019002A">
        <w:rPr>
          <w:rFonts w:ascii="Aptos" w:eastAsia="Times New Roman" w:hAnsi="Aptos" w:cs="Arial"/>
        </w:rPr>
        <w:t>2026</w:t>
      </w:r>
      <w:r w:rsidRPr="00F346C5">
        <w:rPr>
          <w:rFonts w:ascii="Aptos" w:eastAsia="Times New Roman" w:hAnsi="Aptos" w:cs="Arial"/>
        </w:rPr>
        <w:t xml:space="preserve">, were as follows: </w:t>
      </w:r>
      <w:r w:rsidRPr="00F346C5">
        <w:rPr>
          <w:rFonts w:ascii="Aptos" w:hAnsi="Aptos" w:cs="Arial"/>
          <w:b/>
          <w:i/>
          <w:color w:val="0000FF"/>
        </w:rPr>
        <w:t xml:space="preserve">[Note to preparer: receivables related to the construction/acquisition of capital assets may be classified as noncurrent unless a related current liability has been recorded </w:t>
      </w:r>
      <w:r w:rsidRPr="00F346C5">
        <w:rPr>
          <w:rFonts w:ascii="Aptos" w:hAnsi="Aptos" w:cs="Arial"/>
          <w:b/>
          <w:bCs/>
          <w:i/>
          <w:iCs/>
          <w:color w:val="0000FF"/>
        </w:rPr>
        <w:t>(i.e. receivable to be used for payment of payable classified as a current liability)</w:t>
      </w:r>
      <w:r w:rsidRPr="00F346C5">
        <w:rPr>
          <w:rFonts w:ascii="Aptos" w:hAnsi="Aptos" w:cs="Arial"/>
          <w:b/>
          <w:i/>
          <w:color w:val="0000FF"/>
        </w:rPr>
        <w:t xml:space="preserve">. </w:t>
      </w:r>
      <w:r w:rsidRPr="00F346C5">
        <w:rPr>
          <w:rFonts w:ascii="Aptos" w:hAnsi="Aptos" w:cs="Arial"/>
          <w:b/>
          <w:bCs/>
          <w:i/>
          <w:color w:val="0000FF"/>
        </w:rPr>
        <w:t xml:space="preserve">See GASB Codification 2200.176-177 and .744 </w:t>
      </w:r>
      <w:r w:rsidRPr="00F346C5">
        <w:rPr>
          <w:rFonts w:ascii="Aptos" w:eastAsia="Times New Roman" w:hAnsi="Aptos" w:cs="Arial"/>
          <w:b/>
          <w:bCs/>
          <w:i/>
          <w:color w:val="0000FF"/>
        </w:rPr>
        <w:t>for additional guidance.</w:t>
      </w:r>
      <w:r w:rsidRPr="00F346C5">
        <w:rPr>
          <w:rFonts w:ascii="Aptos" w:eastAsia="Times New Roman" w:hAnsi="Aptos" w:cs="Arial"/>
          <w:b/>
          <w:i/>
          <w:color w:val="0000FF"/>
        </w:rPr>
        <w:t>]</w:t>
      </w:r>
    </w:p>
    <w:p w14:paraId="3B43A4E1" w14:textId="69A06C15" w:rsidR="00A72825" w:rsidRPr="00F346C5" w:rsidRDefault="00A72825" w:rsidP="009D62EA">
      <w:pPr>
        <w:spacing w:after="240" w:line="240" w:lineRule="auto"/>
        <w:jc w:val="both"/>
        <w:rPr>
          <w:rFonts w:ascii="Aptos" w:eastAsia="Times New Roman" w:hAnsi="Aptos" w:cs="Arial"/>
        </w:rPr>
      </w:pPr>
    </w:p>
    <w:bookmarkStart w:id="135" w:name="_1213769638"/>
    <w:bookmarkStart w:id="136" w:name="_MON_1119355359"/>
    <w:bookmarkStart w:id="137" w:name="_MON_1149320328"/>
    <w:bookmarkStart w:id="138" w:name="_MON_1188192375"/>
    <w:bookmarkStart w:id="139" w:name="_1188192186"/>
    <w:bookmarkStart w:id="140" w:name="_MON_1286769743"/>
    <w:bookmarkStart w:id="141" w:name="_MON_1286773149"/>
    <w:bookmarkStart w:id="142" w:name="_MON_1305542667"/>
    <w:bookmarkStart w:id="143" w:name="_MON_1370758418"/>
    <w:bookmarkStart w:id="144" w:name="_MON_1336388106"/>
    <w:bookmarkStart w:id="145" w:name="_MON_1375524007"/>
    <w:bookmarkStart w:id="146" w:name="_MON_1375524045"/>
    <w:bookmarkStart w:id="147" w:name="_MON_1401187205"/>
    <w:bookmarkStart w:id="148" w:name="_MON_1119355218"/>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Start w:id="149" w:name="_MON_1119355265"/>
    <w:bookmarkEnd w:id="149"/>
    <w:p w14:paraId="1B60B4F9" w14:textId="10E37D6C" w:rsidR="009D62EA" w:rsidRPr="00F346C5" w:rsidRDefault="00A72825" w:rsidP="009D62EA">
      <w:pPr>
        <w:spacing w:after="240" w:line="240" w:lineRule="auto"/>
        <w:jc w:val="center"/>
        <w:rPr>
          <w:rFonts w:ascii="Aptos" w:eastAsia="Times New Roman" w:hAnsi="Aptos" w:cs="Times New Roman"/>
        </w:rPr>
      </w:pPr>
      <w:r w:rsidRPr="00F346C5">
        <w:rPr>
          <w:rFonts w:ascii="Aptos" w:hAnsi="Aptos"/>
        </w:rPr>
        <w:object w:dxaOrig="10723" w:dyaOrig="8712" w14:anchorId="1039AD14">
          <v:shape id="_x0000_i1033" type="#_x0000_t75" style="width:431.25pt;height:381pt" o:ole="">
            <v:imagedata r:id="rId41" o:title=""/>
          </v:shape>
          <o:OLEObject Type="Embed" ProgID="Excel.Sheet.12" ShapeID="_x0000_i1033" DrawAspect="Content" ObjectID="_1843297336" r:id="rId42"/>
        </w:object>
      </w:r>
    </w:p>
    <w:p w14:paraId="680B6AB4" w14:textId="77777777" w:rsidR="009D62EA" w:rsidRPr="00F346C5" w:rsidRDefault="009D62EA" w:rsidP="009D62EA">
      <w:pPr>
        <w:spacing w:after="240" w:line="240" w:lineRule="auto"/>
        <w:jc w:val="both"/>
        <w:rPr>
          <w:rFonts w:ascii="Aptos" w:eastAsia="Times New Roman" w:hAnsi="Aptos" w:cs="Arial"/>
          <w:b/>
          <w:i/>
          <w:color w:val="0000FF"/>
        </w:rPr>
      </w:pPr>
      <w:r w:rsidRPr="00F346C5">
        <w:rPr>
          <w:rFonts w:ascii="Aptos" w:eastAsia="Times New Roman" w:hAnsi="Aptos" w:cs="Arial"/>
          <w:b/>
          <w:i/>
          <w:color w:val="0000FF"/>
        </w:rPr>
        <w:t>[Note to Preparer: If there is no allowance related to leases, the lease receivable can be omitted from disclosure.]</w:t>
      </w:r>
    </w:p>
    <w:p w14:paraId="190968B7" w14:textId="77777777" w:rsidR="009D62EA" w:rsidRPr="00F346C5" w:rsidRDefault="009D62EA"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r w:rsidRPr="00F346C5">
        <w:rPr>
          <w:rFonts w:ascii="Aptos" w:eastAsia="Times New Roman" w:hAnsi="Aptos" w:cs="Times New Roman"/>
          <w:b/>
          <w:kern w:val="28"/>
        </w:rPr>
        <w:t>Note 6</w:t>
      </w:r>
      <w:r w:rsidRPr="00F346C5">
        <w:rPr>
          <w:rFonts w:ascii="Aptos" w:eastAsia="Times New Roman" w:hAnsi="Aptos" w:cs="Times New Roman"/>
          <w:b/>
          <w:kern w:val="28"/>
        </w:rPr>
        <w:tab/>
        <w:t>-</w:t>
      </w:r>
      <w:r w:rsidRPr="00F346C5">
        <w:rPr>
          <w:rFonts w:ascii="Aptos" w:eastAsia="Times New Roman" w:hAnsi="Aptos" w:cs="Times New Roman"/>
          <w:b/>
          <w:kern w:val="28"/>
        </w:rPr>
        <w:tab/>
        <w:t>Capital Assets</w:t>
      </w:r>
    </w:p>
    <w:p w14:paraId="1902E87C" w14:textId="4C2FEA7B" w:rsidR="009D62EA" w:rsidRPr="00F346C5" w:rsidRDefault="009D62EA" w:rsidP="009D62EA">
      <w:pPr>
        <w:spacing w:after="240" w:line="240" w:lineRule="auto"/>
        <w:jc w:val="both"/>
        <w:rPr>
          <w:rFonts w:ascii="Aptos" w:eastAsia="Times New Roman" w:hAnsi="Aptos" w:cs="Arial"/>
          <w:i/>
          <w:color w:val="0000FF"/>
        </w:rPr>
      </w:pPr>
      <w:r w:rsidRPr="00F346C5">
        <w:rPr>
          <w:rFonts w:ascii="Aptos" w:eastAsia="Times New Roman" w:hAnsi="Aptos" w:cs="Arial"/>
        </w:rPr>
        <w:t xml:space="preserve">A summary of changes in the capital assets for the year ended </w:t>
      </w:r>
      <w:r w:rsidR="00D001EB" w:rsidRPr="00F346C5">
        <w:rPr>
          <w:rFonts w:ascii="Aptos" w:eastAsia="Times New Roman" w:hAnsi="Aptos" w:cs="Arial"/>
        </w:rPr>
        <w:t xml:space="preserve">June 30, </w:t>
      </w:r>
      <w:r w:rsidR="00D521F2" w:rsidRPr="0019002A">
        <w:rPr>
          <w:rFonts w:ascii="Aptos" w:eastAsia="Times New Roman" w:hAnsi="Aptos" w:cs="Arial"/>
        </w:rPr>
        <w:t>2026</w:t>
      </w:r>
      <w:r w:rsidRPr="00F346C5">
        <w:rPr>
          <w:rFonts w:ascii="Aptos" w:eastAsia="Times New Roman" w:hAnsi="Aptos" w:cs="Arial"/>
        </w:rPr>
        <w:t xml:space="preserve">, is presented as follows: </w:t>
      </w:r>
      <w:r w:rsidRPr="00F346C5">
        <w:rPr>
          <w:rFonts w:ascii="Aptos" w:eastAsia="Times New Roman" w:hAnsi="Aptos" w:cs="Arial"/>
          <w:b/>
          <w:i/>
          <w:color w:val="0000FF"/>
        </w:rPr>
        <w:t>[See below table for disclosures related to impairment of capital assets insurance recoveries</w:t>
      </w:r>
      <w:r w:rsidR="0019002A">
        <w:rPr>
          <w:rFonts w:ascii="Aptos" w:eastAsia="Times New Roman" w:hAnsi="Aptos" w:cs="Arial"/>
          <w:b/>
          <w:i/>
          <w:color w:val="0000FF"/>
        </w:rPr>
        <w:t xml:space="preserve"> </w:t>
      </w:r>
      <w:r w:rsidR="0019002A" w:rsidRPr="00B531E4">
        <w:rPr>
          <w:rFonts w:ascii="Aptos" w:eastAsia="Times New Roman" w:hAnsi="Aptos" w:cs="Arial"/>
          <w:b/>
          <w:i/>
          <w:color w:val="0000FF"/>
          <w:highlight w:val="yellow"/>
        </w:rPr>
        <w:t>and capital assets held for sale</w:t>
      </w:r>
      <w:r w:rsidRPr="00F346C5">
        <w:rPr>
          <w:rFonts w:ascii="Aptos" w:eastAsia="Times New Roman" w:hAnsi="Aptos" w:cs="Arial"/>
          <w:b/>
          <w:i/>
          <w:color w:val="0000FF"/>
        </w:rPr>
        <w:t>.]</w:t>
      </w:r>
    </w:p>
    <w:bookmarkStart w:id="150" w:name="_MON_1402754371"/>
    <w:bookmarkEnd w:id="150"/>
    <w:p w14:paraId="1F9D92C6" w14:textId="0BEF5D70" w:rsidR="009D62EA" w:rsidRPr="00F346C5" w:rsidRDefault="00231733" w:rsidP="009D62EA">
      <w:pPr>
        <w:spacing w:after="240" w:line="240" w:lineRule="auto"/>
        <w:jc w:val="center"/>
        <w:rPr>
          <w:rFonts w:ascii="Aptos" w:eastAsia="Times New Roman" w:hAnsi="Aptos" w:cs="Times New Roman"/>
        </w:rPr>
      </w:pPr>
      <w:r w:rsidRPr="00F346C5">
        <w:rPr>
          <w:rFonts w:ascii="Aptos" w:eastAsia="Times New Roman" w:hAnsi="Aptos" w:cs="Times New Roman"/>
        </w:rPr>
        <w:object w:dxaOrig="11639" w:dyaOrig="12408" w14:anchorId="0FB19E67">
          <v:shape id="_x0000_i1034" type="#_x0000_t75" style="width:486.75pt;height:563.25pt" o:ole="">
            <v:imagedata r:id="rId43" o:title=""/>
          </v:shape>
          <o:OLEObject Type="Embed" ProgID="Excel.Sheet.12" ShapeID="_x0000_i1034" DrawAspect="Content" ObjectID="_1843297337" r:id="rId44"/>
        </w:object>
      </w:r>
    </w:p>
    <w:p w14:paraId="7B147278" w14:textId="65435383" w:rsidR="009D62EA" w:rsidRPr="00F346C5" w:rsidRDefault="00CD04F2" w:rsidP="009D62EA">
      <w:pPr>
        <w:spacing w:after="240" w:line="240" w:lineRule="auto"/>
        <w:jc w:val="both"/>
        <w:rPr>
          <w:rFonts w:ascii="Aptos" w:eastAsia="Times New Roman" w:hAnsi="Aptos" w:cs="Arial"/>
        </w:rPr>
      </w:pPr>
      <w:r w:rsidRPr="00F346C5">
        <w:rPr>
          <w:rFonts w:ascii="Aptos" w:eastAsia="Times New Roman" w:hAnsi="Aptos" w:cs="Arial"/>
        </w:rPr>
        <w:t xml:space="preserve">As of </w:t>
      </w:r>
      <w:r w:rsidR="00D001EB" w:rsidRPr="00F346C5">
        <w:rPr>
          <w:rFonts w:ascii="Aptos" w:eastAsia="Times New Roman" w:hAnsi="Aptos" w:cs="Arial"/>
        </w:rPr>
        <w:t xml:space="preserve">June 30, </w:t>
      </w:r>
      <w:r w:rsidR="00320A67" w:rsidRPr="0019002A">
        <w:rPr>
          <w:rFonts w:ascii="Aptos" w:eastAsia="Times New Roman" w:hAnsi="Aptos" w:cs="Arial"/>
        </w:rPr>
        <w:t>2026</w:t>
      </w:r>
      <w:r w:rsidRPr="00F346C5">
        <w:rPr>
          <w:rFonts w:ascii="Aptos" w:eastAsia="Times New Roman" w:hAnsi="Aptos" w:cs="Arial"/>
        </w:rPr>
        <w:t>, the total amount of right-to-use leased and subscription assets was $________ and $________, and the related accumulated amortization was $_________ and $________, respectively.</w:t>
      </w:r>
      <w:r w:rsidR="00387977" w:rsidRPr="00F346C5">
        <w:rPr>
          <w:rFonts w:ascii="Aptos" w:eastAsia="Times New Roman" w:hAnsi="Aptos" w:cs="Arial"/>
        </w:rPr>
        <w:t xml:space="preserve"> </w:t>
      </w:r>
      <w:r w:rsidR="00387977" w:rsidRPr="00F346C5">
        <w:rPr>
          <w:rFonts w:ascii="Aptos" w:eastAsia="Times New Roman" w:hAnsi="Aptos" w:cs="Arial"/>
          <w:b/>
          <w:bCs/>
          <w:i/>
          <w:iCs/>
          <w:color w:val="0000FF"/>
        </w:rPr>
        <w:t>[Note to Preparer: This sentence can be removed if reporting only one type of RTU leased assets]</w:t>
      </w:r>
    </w:p>
    <w:p w14:paraId="44C9640A" w14:textId="6F238AAE" w:rsidR="00CD04F2" w:rsidRPr="00F346C5" w:rsidRDefault="00CD04F2" w:rsidP="00CD04F2">
      <w:pPr>
        <w:spacing w:after="240" w:line="240" w:lineRule="auto"/>
        <w:jc w:val="both"/>
        <w:rPr>
          <w:rFonts w:ascii="Aptos" w:eastAsia="Times New Roman" w:hAnsi="Aptos" w:cs="Arial"/>
          <w:b/>
          <w:i/>
          <w:color w:val="0000FF"/>
        </w:rPr>
      </w:pPr>
      <w:r w:rsidRPr="00F346C5">
        <w:rPr>
          <w:rFonts w:ascii="Aptos" w:eastAsia="Times New Roman" w:hAnsi="Aptos" w:cs="Arial"/>
          <w:b/>
          <w:i/>
          <w:color w:val="0000FF"/>
        </w:rPr>
        <w:lastRenderedPageBreak/>
        <w:t xml:space="preserve">[Replace Other [Describe] with the name of any other major category of intangible assets capitalized by the </w:t>
      </w:r>
      <w:r w:rsidR="00277EF8" w:rsidRPr="00F346C5">
        <w:rPr>
          <w:rFonts w:ascii="Aptos" w:eastAsia="Times New Roman" w:hAnsi="Aptos" w:cs="Arial"/>
          <w:b/>
          <w:i/>
          <w:color w:val="0000FF"/>
        </w:rPr>
        <w:t>College</w:t>
      </w:r>
      <w:r w:rsidRPr="00F346C5">
        <w:rPr>
          <w:rFonts w:ascii="Aptos" w:eastAsia="Times New Roman" w:hAnsi="Aptos" w:cs="Arial"/>
          <w:b/>
          <w:i/>
          <w:color w:val="0000FF"/>
        </w:rPr>
        <w:t xml:space="preserve">. See GASB 51 for further guidance.] </w:t>
      </w:r>
    </w:p>
    <w:p w14:paraId="2F137FEB" w14:textId="33A7CAE4" w:rsidR="00CD04F2" w:rsidRPr="00F346C5" w:rsidRDefault="00CD04F2" w:rsidP="00CD04F2">
      <w:pPr>
        <w:spacing w:after="240" w:line="240" w:lineRule="auto"/>
        <w:jc w:val="both"/>
        <w:rPr>
          <w:rFonts w:ascii="Aptos" w:eastAsia="Times New Roman" w:hAnsi="Aptos" w:cs="Arial"/>
        </w:rPr>
      </w:pPr>
      <w:r w:rsidRPr="00F346C5">
        <w:rPr>
          <w:rFonts w:ascii="Aptos" w:hAnsi="Aptos" w:cs="Arial"/>
          <w:b/>
          <w:bCs/>
          <w:i/>
          <w:color w:val="0000FF"/>
        </w:rPr>
        <w:t>[Note to preparer: Disclosure of assets pledged as collateral for debt now included in long-term liabilities disclosure with other GASB 88 requirements.]</w:t>
      </w:r>
      <w:r w:rsidRPr="00F346C5" w:rsidDel="00CD04F2">
        <w:rPr>
          <w:rFonts w:ascii="Aptos" w:eastAsia="Times New Roman" w:hAnsi="Aptos" w:cs="Arial"/>
          <w:b/>
          <w:bCs/>
          <w:i/>
          <w:color w:val="0000FF"/>
        </w:rPr>
        <w:t xml:space="preserve"> </w:t>
      </w:r>
    </w:p>
    <w:p w14:paraId="568D2460" w14:textId="77777777" w:rsidR="009D62EA" w:rsidRPr="00F346C5" w:rsidRDefault="009D62EA" w:rsidP="009D62EA">
      <w:pPr>
        <w:spacing w:after="240" w:line="240" w:lineRule="auto"/>
        <w:jc w:val="both"/>
        <w:rPr>
          <w:rFonts w:ascii="Aptos" w:eastAsia="Times New Roman" w:hAnsi="Aptos" w:cs="Arial"/>
        </w:rPr>
      </w:pPr>
      <w:r w:rsidRPr="00F346C5">
        <w:rPr>
          <w:rFonts w:ascii="Aptos" w:eastAsia="Times New Roman" w:hAnsi="Aptos" w:cs="Arial"/>
        </w:rPr>
        <w:t>The carrying amount of impaired capital assets idle at year-end is $_______ for buildings and $_______ for machinery and equipment.</w:t>
      </w:r>
    </w:p>
    <w:p w14:paraId="7FB95309" w14:textId="471F4A0B" w:rsidR="009D62EA" w:rsidRPr="00F346C5" w:rsidRDefault="009D62EA" w:rsidP="009D62EA">
      <w:pPr>
        <w:spacing w:after="240" w:line="240" w:lineRule="auto"/>
        <w:jc w:val="both"/>
        <w:rPr>
          <w:rFonts w:ascii="Aptos" w:eastAsia="Times New Roman" w:hAnsi="Aptos" w:cs="Arial"/>
          <w:b/>
          <w:i/>
          <w:color w:val="0000FF"/>
        </w:rPr>
      </w:pPr>
      <w:r w:rsidRPr="00F346C5">
        <w:rPr>
          <w:rFonts w:ascii="Aptos" w:eastAsia="Times New Roman" w:hAnsi="Aptos" w:cs="Arial"/>
        </w:rPr>
        <w:t xml:space="preserve">Supplies and services expense includes an impairment loss of $_______ due to __________, which is net of an insurance recovery of $_________. In addition, nonoperating revenues include an insurance recovery of ______ related to prior year impairments. </w:t>
      </w:r>
      <w:r w:rsidRPr="00F346C5">
        <w:rPr>
          <w:rFonts w:ascii="Aptos" w:eastAsia="Times New Roman" w:hAnsi="Aptos" w:cs="Arial"/>
          <w:b/>
          <w:i/>
          <w:color w:val="0000FF"/>
        </w:rPr>
        <w:t>[See GASB 42 for additional requirements regarding capital asset impairments</w:t>
      </w:r>
      <w:r w:rsidR="00CD04F2" w:rsidRPr="00F346C5">
        <w:rPr>
          <w:rFonts w:ascii="Aptos" w:eastAsia="Times New Roman" w:hAnsi="Aptos" w:cs="Arial"/>
          <w:b/>
          <w:i/>
          <w:color w:val="0000FF"/>
        </w:rPr>
        <w:t>, including insurance recoveries]</w:t>
      </w:r>
    </w:p>
    <w:p w14:paraId="03B36A26" w14:textId="77777777" w:rsidR="009D62EA" w:rsidRDefault="009D62EA" w:rsidP="009D62EA">
      <w:pPr>
        <w:spacing w:after="240" w:line="240" w:lineRule="auto"/>
        <w:jc w:val="both"/>
        <w:rPr>
          <w:rFonts w:ascii="Aptos" w:eastAsia="Times New Roman" w:hAnsi="Aptos" w:cs="Arial"/>
          <w:b/>
          <w:i/>
          <w:color w:val="0000FF"/>
        </w:rPr>
      </w:pPr>
      <w:r w:rsidRPr="00F346C5">
        <w:rPr>
          <w:rFonts w:ascii="Aptos" w:eastAsia="Times New Roman" w:hAnsi="Aptos" w:cs="Arial"/>
          <w:b/>
          <w:i/>
          <w:color w:val="0000FF"/>
        </w:rPr>
        <w:t>[Note to Preparer: If the College has significant assets that were recorded at acquisition value, explain the methods that were used to determine the asset’s value.]</w:t>
      </w:r>
    </w:p>
    <w:p w14:paraId="72F01EB8" w14:textId="573A8431" w:rsidR="0019002A" w:rsidRPr="009674C8" w:rsidRDefault="0019002A" w:rsidP="0019002A">
      <w:pPr>
        <w:spacing w:after="240" w:line="240" w:lineRule="auto"/>
        <w:jc w:val="both"/>
        <w:rPr>
          <w:rFonts w:ascii="Aptos" w:eastAsia="Times New Roman" w:hAnsi="Aptos" w:cs="Arial"/>
          <w:b/>
          <w:i/>
          <w:color w:val="0000FF"/>
          <w:highlight w:val="yellow"/>
        </w:rPr>
      </w:pPr>
      <w:r w:rsidRPr="009674C8">
        <w:rPr>
          <w:rFonts w:ascii="Aptos" w:eastAsia="Times New Roman" w:hAnsi="Aptos" w:cs="Arial"/>
          <w:b/>
          <w:i/>
          <w:color w:val="0000FF"/>
          <w:highlight w:val="yellow"/>
        </w:rPr>
        <w:t xml:space="preserve">[Note to Preparer: If the </w:t>
      </w:r>
      <w:r>
        <w:rPr>
          <w:rFonts w:ascii="Aptos" w:eastAsia="Times New Roman" w:hAnsi="Aptos" w:cs="Arial"/>
          <w:b/>
          <w:i/>
          <w:color w:val="0000FF"/>
          <w:highlight w:val="yellow"/>
        </w:rPr>
        <w:t>College</w:t>
      </w:r>
      <w:r w:rsidRPr="009674C8">
        <w:rPr>
          <w:rFonts w:ascii="Aptos" w:eastAsia="Times New Roman" w:hAnsi="Aptos" w:cs="Arial"/>
          <w:b/>
          <w:i/>
          <w:color w:val="0000FF"/>
          <w:highlight w:val="yellow"/>
        </w:rPr>
        <w:t xml:space="preserve"> has significant capital assets held for sale include</w:t>
      </w:r>
      <w:r w:rsidRPr="00A54F7F">
        <w:rPr>
          <w:rFonts w:ascii="Aptos" w:eastAsia="Times New Roman" w:hAnsi="Aptos" w:cs="Arial"/>
          <w:b/>
          <w:i/>
          <w:color w:val="0000FF"/>
          <w:highlight w:val="yellow"/>
        </w:rPr>
        <w:t xml:space="preserve"> for each major asset class</w:t>
      </w:r>
      <w:r w:rsidRPr="009674C8">
        <w:rPr>
          <w:rFonts w:ascii="Aptos" w:eastAsia="Times New Roman" w:hAnsi="Aptos" w:cs="Arial"/>
          <w:b/>
          <w:i/>
          <w:color w:val="0000FF"/>
          <w:highlight w:val="yellow"/>
        </w:rPr>
        <w:t>: 1) Description of the assets to be sold (for example: land, building equipment, etc.); 2) Ending balance of the capital asset held for sale. The amount of historical cost and accumulated depreciation disclosed separately by major asset class; 3) Carrying amount of debt for which the capital assets held for sale are pledged as collateral for each major class of asset. Example disclosure follows.]</w:t>
      </w:r>
    </w:p>
    <w:p w14:paraId="00D7802B" w14:textId="7AEE3C44" w:rsidR="0019002A" w:rsidRPr="00A54F7F" w:rsidRDefault="0019002A" w:rsidP="0019002A">
      <w:pPr>
        <w:spacing w:after="240" w:line="240" w:lineRule="auto"/>
        <w:jc w:val="both"/>
        <w:rPr>
          <w:rFonts w:ascii="Aptos" w:eastAsia="Times New Roman" w:hAnsi="Aptos" w:cs="Arial"/>
        </w:rPr>
      </w:pPr>
      <w:r w:rsidRPr="00A54F7F">
        <w:rPr>
          <w:rFonts w:ascii="Aptos" w:eastAsia="Times New Roman" w:hAnsi="Aptos" w:cs="Arial"/>
          <w:highlight w:val="yellow"/>
        </w:rPr>
        <w:t xml:space="preserve">The </w:t>
      </w:r>
      <w:r>
        <w:rPr>
          <w:rFonts w:ascii="Aptos" w:eastAsia="Times New Roman" w:hAnsi="Aptos" w:cs="Arial"/>
          <w:highlight w:val="yellow"/>
        </w:rPr>
        <w:t>College</w:t>
      </w:r>
      <w:r w:rsidRPr="00A54F7F">
        <w:rPr>
          <w:rFonts w:ascii="Aptos" w:eastAsia="Times New Roman" w:hAnsi="Aptos" w:cs="Arial"/>
          <w:highlight w:val="yellow"/>
        </w:rPr>
        <w:t xml:space="preserve"> has buildings that are expected to be sold within the next reporting period. The historical cost of the buildings held for sale is $_________ with accumulated depreciation of $_________________ as of June 30, 2026. The buildings held for sale are pledged as collateral for debt with an outstanding balance of $________________ as of June 30, 2026.</w:t>
      </w:r>
    </w:p>
    <w:p w14:paraId="14FBDA3F" w14:textId="77777777" w:rsidR="009D62EA" w:rsidRPr="00F346C5" w:rsidRDefault="009D62EA"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r w:rsidRPr="00F346C5">
        <w:rPr>
          <w:rFonts w:ascii="Aptos" w:eastAsia="Times New Roman" w:hAnsi="Aptos" w:cs="Times New Roman"/>
          <w:b/>
          <w:kern w:val="28"/>
        </w:rPr>
        <w:t>Note 7</w:t>
      </w:r>
      <w:r w:rsidRPr="00F346C5">
        <w:rPr>
          <w:rFonts w:ascii="Aptos" w:eastAsia="Times New Roman" w:hAnsi="Aptos" w:cs="Times New Roman"/>
          <w:b/>
          <w:kern w:val="28"/>
        </w:rPr>
        <w:tab/>
        <w:t>-</w:t>
      </w:r>
      <w:r w:rsidRPr="00F346C5">
        <w:rPr>
          <w:rFonts w:ascii="Aptos" w:eastAsia="Times New Roman" w:hAnsi="Aptos" w:cs="Times New Roman"/>
          <w:b/>
          <w:kern w:val="28"/>
        </w:rPr>
        <w:tab/>
        <w:t>Accounts Payable and Accrued Liabilities</w:t>
      </w:r>
    </w:p>
    <w:p w14:paraId="1CF05D55" w14:textId="25486554" w:rsidR="009D62EA" w:rsidRPr="00F346C5" w:rsidRDefault="009D62EA" w:rsidP="009D62EA">
      <w:pPr>
        <w:spacing w:after="240" w:line="240" w:lineRule="auto"/>
        <w:jc w:val="both"/>
        <w:rPr>
          <w:rFonts w:ascii="Aptos" w:eastAsia="Times New Roman" w:hAnsi="Aptos" w:cs="Arial"/>
          <w:b/>
          <w:i/>
          <w:color w:val="000000"/>
        </w:rPr>
      </w:pPr>
      <w:r w:rsidRPr="00F346C5">
        <w:rPr>
          <w:rFonts w:ascii="Aptos" w:eastAsia="Times New Roman" w:hAnsi="Aptos" w:cs="Arial"/>
        </w:rPr>
        <w:t xml:space="preserve">Accounts payable and accrued liabilities at </w:t>
      </w:r>
      <w:r w:rsidR="00D001EB" w:rsidRPr="00F346C5">
        <w:rPr>
          <w:rFonts w:ascii="Aptos" w:eastAsia="Times New Roman" w:hAnsi="Aptos" w:cs="Arial"/>
        </w:rPr>
        <w:t>June 30, 2025</w:t>
      </w:r>
      <w:r w:rsidRPr="00F346C5">
        <w:rPr>
          <w:rFonts w:ascii="Aptos" w:eastAsia="Times New Roman" w:hAnsi="Aptos" w:cs="Arial"/>
        </w:rPr>
        <w:t xml:space="preserve">, were as follows: </w:t>
      </w:r>
      <w:r w:rsidRPr="00F346C5">
        <w:rPr>
          <w:rFonts w:ascii="Aptos" w:eastAsia="Times New Roman" w:hAnsi="Aptos" w:cs="Arial"/>
          <w:b/>
          <w:bCs/>
          <w:i/>
          <w:color w:val="0000FF"/>
        </w:rPr>
        <w:t>[Note to preparer: Delete noncurrent section if not applicable.]</w:t>
      </w:r>
    </w:p>
    <w:bookmarkStart w:id="151" w:name="_1119089011"/>
    <w:bookmarkStart w:id="152" w:name="_1302418682"/>
    <w:bookmarkStart w:id="153" w:name="_MON_1118933529"/>
    <w:bookmarkStart w:id="154" w:name="_MON_1118933535"/>
    <w:bookmarkStart w:id="155" w:name="_MON_1118934610"/>
    <w:bookmarkStart w:id="156" w:name="_MON_1119000524"/>
    <w:bookmarkStart w:id="157" w:name="_MON_1119000550"/>
    <w:bookmarkStart w:id="158" w:name="_MON_1188274037"/>
    <w:bookmarkStart w:id="159" w:name="_MON_1188285277"/>
    <w:bookmarkStart w:id="160" w:name="_MON_1192364366"/>
    <w:bookmarkStart w:id="161" w:name="_MON_1220941528"/>
    <w:bookmarkEnd w:id="151"/>
    <w:bookmarkEnd w:id="152"/>
    <w:bookmarkEnd w:id="153"/>
    <w:bookmarkEnd w:id="154"/>
    <w:bookmarkEnd w:id="155"/>
    <w:bookmarkEnd w:id="156"/>
    <w:bookmarkEnd w:id="157"/>
    <w:bookmarkEnd w:id="158"/>
    <w:bookmarkEnd w:id="159"/>
    <w:bookmarkEnd w:id="160"/>
    <w:bookmarkEnd w:id="161"/>
    <w:bookmarkStart w:id="162" w:name="_MON_1220941701"/>
    <w:bookmarkEnd w:id="162"/>
    <w:p w14:paraId="4C39536E" w14:textId="1CE88E4C" w:rsidR="009D62EA" w:rsidRPr="00F346C5" w:rsidRDefault="00A72825" w:rsidP="009D62EA">
      <w:pPr>
        <w:spacing w:after="240" w:line="240" w:lineRule="auto"/>
        <w:jc w:val="center"/>
        <w:rPr>
          <w:rFonts w:ascii="Aptos" w:eastAsia="Times New Roman" w:hAnsi="Aptos" w:cs="Arial"/>
          <w:b/>
          <w:i/>
          <w:color w:val="0000FF"/>
        </w:rPr>
      </w:pPr>
      <w:r w:rsidRPr="00F346C5">
        <w:rPr>
          <w:rFonts w:ascii="Aptos" w:eastAsia="Times New Roman" w:hAnsi="Aptos" w:cs="Times New Roman"/>
        </w:rPr>
        <w:object w:dxaOrig="7756" w:dyaOrig="4214" w14:anchorId="2C16897F">
          <v:shape id="_x0000_i1035" type="#_x0000_t75" style="width:335.25pt;height:196.5pt" o:ole="">
            <v:imagedata r:id="rId45" o:title=""/>
          </v:shape>
          <o:OLEObject Type="Embed" ProgID="Excel.Sheet.12" ShapeID="_x0000_i1035" DrawAspect="Content" ObjectID="_1843297338" r:id="rId46"/>
        </w:object>
      </w:r>
    </w:p>
    <w:p w14:paraId="4E427CB9" w14:textId="77777777" w:rsidR="009D62EA" w:rsidRPr="00F346C5" w:rsidRDefault="009D62EA"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r w:rsidRPr="00F346C5">
        <w:rPr>
          <w:rFonts w:ascii="Aptos" w:eastAsia="Times New Roman" w:hAnsi="Aptos" w:cs="Times New Roman"/>
          <w:b/>
          <w:kern w:val="28"/>
        </w:rPr>
        <w:lastRenderedPageBreak/>
        <w:t>Note 8</w:t>
      </w:r>
      <w:r w:rsidRPr="00F346C5">
        <w:rPr>
          <w:rFonts w:ascii="Aptos" w:eastAsia="Times New Roman" w:hAnsi="Aptos" w:cs="Times New Roman"/>
          <w:b/>
          <w:kern w:val="28"/>
        </w:rPr>
        <w:tab/>
        <w:t>-</w:t>
      </w:r>
      <w:r w:rsidRPr="00F346C5">
        <w:rPr>
          <w:rFonts w:ascii="Aptos" w:eastAsia="Times New Roman" w:hAnsi="Aptos" w:cs="Times New Roman"/>
          <w:b/>
          <w:kern w:val="28"/>
        </w:rPr>
        <w:tab/>
        <w:t>Short</w:t>
      </w:r>
      <w:r w:rsidRPr="00F346C5">
        <w:rPr>
          <w:rFonts w:ascii="Aptos" w:eastAsia="Times New Roman" w:hAnsi="Aptos" w:cs="Times New Roman"/>
          <w:b/>
          <w:kern w:val="28"/>
        </w:rPr>
        <w:noBreakHyphen/>
        <w:t>Term Debt -</w:t>
      </w:r>
      <w:r w:rsidRPr="00893C66">
        <w:rPr>
          <w:rFonts w:ascii="Aptos" w:eastAsia="Times New Roman" w:hAnsi="Aptos" w:cs="Times New Roman"/>
          <w:b/>
          <w:kern w:val="28"/>
        </w:rPr>
        <w:t xml:space="preserve"> </w:t>
      </w:r>
      <w:r w:rsidRPr="00893C66">
        <w:rPr>
          <w:rFonts w:ascii="Aptos" w:eastAsia="Times New Roman" w:hAnsi="Aptos" w:cs="Times New Roman"/>
          <w:b/>
          <w:color w:val="0000FF"/>
          <w:kern w:val="28"/>
        </w:rPr>
        <w:t>[Type]</w:t>
      </w:r>
    </w:p>
    <w:p w14:paraId="67B7B646" w14:textId="77777777" w:rsidR="009D62EA" w:rsidRPr="00F346C5" w:rsidRDefault="009D62EA" w:rsidP="009D62EA">
      <w:pPr>
        <w:spacing w:after="240" w:line="240" w:lineRule="auto"/>
        <w:jc w:val="both"/>
        <w:rPr>
          <w:rFonts w:ascii="Aptos" w:eastAsia="Times New Roman" w:hAnsi="Aptos" w:cs="Arial"/>
          <w:b/>
          <w:i/>
          <w:color w:val="0000FF"/>
        </w:rPr>
      </w:pPr>
      <w:r w:rsidRPr="00F346C5">
        <w:rPr>
          <w:rFonts w:ascii="Aptos" w:eastAsia="Times New Roman" w:hAnsi="Aptos" w:cs="Arial"/>
          <w:b/>
          <w:i/>
          <w:color w:val="0000FF"/>
        </w:rPr>
        <w:t>[Describe the short</w:t>
      </w:r>
      <w:r w:rsidRPr="00F346C5">
        <w:rPr>
          <w:rFonts w:ascii="Aptos" w:eastAsia="Times New Roman" w:hAnsi="Aptos" w:cs="Arial"/>
          <w:b/>
          <w:i/>
          <w:color w:val="0000FF"/>
        </w:rPr>
        <w:noBreakHyphen/>
        <w:t>term debt. Example: The College uses a revolving line of credit to finance _______________. This line of credit was necessary to __________________. (Note: Activity must be described even if no outstanding balance at year</w:t>
      </w:r>
      <w:r w:rsidRPr="00F346C5">
        <w:rPr>
          <w:rFonts w:ascii="Aptos" w:eastAsia="Times New Roman" w:hAnsi="Aptos" w:cs="Arial"/>
          <w:b/>
          <w:i/>
          <w:color w:val="0000FF"/>
        </w:rPr>
        <w:noBreakHyphen/>
        <w:t>end - see GASB 38, paragraph 12.)]</w:t>
      </w:r>
    </w:p>
    <w:p w14:paraId="0DD878F2" w14:textId="77777777" w:rsidR="009D62EA" w:rsidRPr="00F346C5" w:rsidRDefault="009D62EA" w:rsidP="009D62EA">
      <w:pPr>
        <w:spacing w:after="240" w:line="240" w:lineRule="auto"/>
        <w:jc w:val="both"/>
        <w:rPr>
          <w:rFonts w:ascii="Aptos" w:eastAsia="Times New Roman" w:hAnsi="Aptos" w:cs="Arial"/>
          <w:b/>
          <w:i/>
          <w:color w:val="0000FF"/>
        </w:rPr>
      </w:pPr>
      <w:r w:rsidRPr="00F346C5">
        <w:rPr>
          <w:rFonts w:ascii="Aptos" w:eastAsia="Times New Roman" w:hAnsi="Aptos" w:cs="Arial"/>
          <w:b/>
          <w:i/>
          <w:color w:val="0000FF"/>
        </w:rPr>
        <w:t>[See GASB Statement 62 paragraph 36-40 for classification criteria regarding anticipation notes.]</w:t>
      </w:r>
    </w:p>
    <w:p w14:paraId="44A48367" w14:textId="22EDF88D" w:rsidR="009D62EA" w:rsidRPr="00F346C5" w:rsidRDefault="009D62EA" w:rsidP="009D62EA">
      <w:pPr>
        <w:spacing w:after="240" w:line="240" w:lineRule="auto"/>
        <w:jc w:val="both"/>
        <w:rPr>
          <w:rFonts w:ascii="Aptos" w:eastAsia="Times New Roman" w:hAnsi="Aptos" w:cs="Arial"/>
          <w:bCs/>
          <w:iCs/>
        </w:rPr>
      </w:pPr>
      <w:r w:rsidRPr="00F346C5">
        <w:rPr>
          <w:rFonts w:ascii="Aptos" w:eastAsia="Times New Roman" w:hAnsi="Aptos" w:cs="Arial"/>
          <w:bCs/>
          <w:iCs/>
        </w:rPr>
        <w:t xml:space="preserve">Short-term debt activity for the year ended </w:t>
      </w:r>
      <w:r w:rsidR="00D001EB" w:rsidRPr="00F346C5">
        <w:rPr>
          <w:rFonts w:ascii="Aptos" w:eastAsia="Times New Roman" w:hAnsi="Aptos" w:cs="Arial"/>
          <w:bCs/>
          <w:iCs/>
        </w:rPr>
        <w:t xml:space="preserve">June 30, </w:t>
      </w:r>
      <w:r w:rsidR="00F85898" w:rsidRPr="0019002A">
        <w:rPr>
          <w:rFonts w:ascii="Aptos" w:eastAsia="Times New Roman" w:hAnsi="Aptos" w:cs="Arial"/>
          <w:bCs/>
          <w:iCs/>
        </w:rPr>
        <w:t>2026</w:t>
      </w:r>
      <w:r w:rsidRPr="00F346C5">
        <w:rPr>
          <w:rFonts w:ascii="Aptos" w:eastAsia="Times New Roman" w:hAnsi="Aptos" w:cs="Arial"/>
          <w:bCs/>
          <w:iCs/>
        </w:rPr>
        <w:t>, was as follows:</w:t>
      </w:r>
    </w:p>
    <w:bookmarkStart w:id="163" w:name="_1331964715"/>
    <w:bookmarkStart w:id="164" w:name="_1283839073"/>
    <w:bookmarkStart w:id="165" w:name="_MON_1302418654"/>
    <w:bookmarkStart w:id="166" w:name="_MON_1401869034"/>
    <w:bookmarkStart w:id="167" w:name="_MON_1421219455"/>
    <w:bookmarkStart w:id="168" w:name="_MON_1220941751"/>
    <w:bookmarkStart w:id="169" w:name="_MON_1220942106"/>
    <w:bookmarkStart w:id="170" w:name="_MON_1220942193"/>
    <w:bookmarkStart w:id="171" w:name="_MON_1243143828"/>
    <w:bookmarkStart w:id="172" w:name="_MON_1264506653"/>
    <w:bookmarkEnd w:id="163"/>
    <w:bookmarkEnd w:id="164"/>
    <w:bookmarkEnd w:id="165"/>
    <w:bookmarkEnd w:id="166"/>
    <w:bookmarkEnd w:id="167"/>
    <w:bookmarkEnd w:id="168"/>
    <w:bookmarkEnd w:id="169"/>
    <w:bookmarkEnd w:id="170"/>
    <w:bookmarkEnd w:id="171"/>
    <w:bookmarkEnd w:id="172"/>
    <w:bookmarkStart w:id="173" w:name="_MON_1300514102"/>
    <w:bookmarkEnd w:id="173"/>
    <w:p w14:paraId="7651D5B0" w14:textId="55800C92" w:rsidR="009D62EA" w:rsidRPr="00F346C5" w:rsidRDefault="0033725A" w:rsidP="009D62EA">
      <w:pPr>
        <w:spacing w:after="240" w:line="240" w:lineRule="auto"/>
        <w:jc w:val="center"/>
        <w:rPr>
          <w:rFonts w:ascii="Aptos" w:eastAsia="Times New Roman" w:hAnsi="Aptos" w:cs="Times New Roman"/>
        </w:rPr>
      </w:pPr>
      <w:r w:rsidRPr="00F346C5">
        <w:rPr>
          <w:rFonts w:ascii="Aptos" w:eastAsia="Times New Roman" w:hAnsi="Aptos" w:cs="Times New Roman"/>
        </w:rPr>
        <w:object w:dxaOrig="9469" w:dyaOrig="2175" w14:anchorId="77A589D3">
          <v:shape id="_x0000_i1036" type="#_x0000_t75" style="width:384.75pt;height:94.5pt" o:ole="">
            <v:imagedata r:id="rId47" o:title=""/>
          </v:shape>
          <o:OLEObject Type="Embed" ProgID="Excel.Sheet.12" ShapeID="_x0000_i1036" DrawAspect="Content" ObjectID="_1843297339" r:id="rId48"/>
        </w:object>
      </w:r>
    </w:p>
    <w:p w14:paraId="3C7FC7E2" w14:textId="2465B7D6" w:rsidR="009D62EA" w:rsidRPr="00F346C5" w:rsidRDefault="009D62EA" w:rsidP="009D62EA">
      <w:pPr>
        <w:spacing w:after="240" w:line="240" w:lineRule="auto"/>
        <w:jc w:val="both"/>
        <w:rPr>
          <w:rFonts w:ascii="Aptos" w:eastAsia="Times New Roman" w:hAnsi="Aptos" w:cs="Arial"/>
          <w:b/>
          <w:color w:val="0000FF"/>
        </w:rPr>
      </w:pPr>
      <w:r w:rsidRPr="00F346C5">
        <w:rPr>
          <w:rFonts w:ascii="Aptos" w:eastAsia="Times New Roman" w:hAnsi="Aptos" w:cs="Arial"/>
          <w:b/>
        </w:rPr>
        <w:t>Unused Line</w:t>
      </w:r>
      <w:r w:rsidRPr="00F346C5">
        <w:rPr>
          <w:rFonts w:ascii="Aptos" w:eastAsia="Times New Roman" w:hAnsi="Aptos" w:cs="Arial"/>
          <w:b/>
          <w:color w:val="0000FF"/>
        </w:rPr>
        <w:t>(s)</w:t>
      </w:r>
      <w:r w:rsidRPr="00F346C5">
        <w:rPr>
          <w:rFonts w:ascii="Aptos" w:eastAsia="Times New Roman" w:hAnsi="Aptos" w:cs="Arial"/>
          <w:b/>
        </w:rPr>
        <w:t xml:space="preserve"> of Credit</w:t>
      </w:r>
      <w:r w:rsidRPr="00F346C5">
        <w:rPr>
          <w:rFonts w:ascii="Aptos" w:eastAsia="Times New Roman" w:hAnsi="Aptos" w:cs="Arial"/>
        </w:rPr>
        <w:t xml:space="preserve"> - </w:t>
      </w:r>
      <w:r w:rsidRPr="00F346C5">
        <w:rPr>
          <w:rFonts w:ascii="Aptos" w:eastAsia="Times New Roman" w:hAnsi="Aptos" w:cs="Arial"/>
          <w:b/>
          <w:i/>
          <w:color w:val="0000FF"/>
        </w:rPr>
        <w:t>[If no current year activity (draws/repayments) or ending balance, remove table and include only this paragraph]</w:t>
      </w:r>
      <w:r w:rsidRPr="00F346C5">
        <w:rPr>
          <w:rFonts w:ascii="Aptos" w:eastAsia="Times New Roman" w:hAnsi="Aptos" w:cs="Arial"/>
        </w:rPr>
        <w:t xml:space="preserve"> The College has a line of credit agreement with </w:t>
      </w:r>
      <w:r w:rsidRPr="00F346C5">
        <w:rPr>
          <w:rFonts w:ascii="Aptos" w:eastAsia="Times New Roman" w:hAnsi="Aptos" w:cs="Arial"/>
          <w:b/>
          <w:color w:val="0000FF"/>
        </w:rPr>
        <w:t>[financing entity]</w:t>
      </w:r>
      <w:r w:rsidRPr="00F346C5">
        <w:rPr>
          <w:rFonts w:ascii="Aptos" w:eastAsia="Times New Roman" w:hAnsi="Aptos" w:cs="Arial"/>
        </w:rPr>
        <w:t xml:space="preserve"> for financing of an amount up to $________. This line was unused during the year ended </w:t>
      </w:r>
      <w:r w:rsidR="00D001EB" w:rsidRPr="00F346C5">
        <w:rPr>
          <w:rFonts w:ascii="Aptos" w:eastAsia="Times New Roman" w:hAnsi="Aptos" w:cs="Arial"/>
        </w:rPr>
        <w:t xml:space="preserve">June 30, </w:t>
      </w:r>
      <w:r w:rsidR="00064DE8" w:rsidRPr="0019002A">
        <w:rPr>
          <w:rFonts w:ascii="Aptos" w:eastAsia="Times New Roman" w:hAnsi="Aptos" w:cs="Arial"/>
        </w:rPr>
        <w:t>2026</w:t>
      </w:r>
      <w:r w:rsidR="00064DE8" w:rsidRPr="00F346C5">
        <w:rPr>
          <w:rFonts w:ascii="Aptos" w:eastAsia="Times New Roman" w:hAnsi="Aptos" w:cs="Arial"/>
        </w:rPr>
        <w:t xml:space="preserve"> </w:t>
      </w:r>
      <w:r w:rsidRPr="00F346C5">
        <w:rPr>
          <w:rFonts w:ascii="Aptos" w:eastAsia="Times New Roman" w:hAnsi="Aptos" w:cs="Arial"/>
        </w:rPr>
        <w:t xml:space="preserve">and has no outstanding balance. </w:t>
      </w:r>
      <w:r w:rsidRPr="00F346C5">
        <w:rPr>
          <w:rFonts w:ascii="Aptos" w:eastAsia="Times New Roman" w:hAnsi="Aptos" w:cs="Arial"/>
          <w:b/>
          <w:i/>
          <w:color w:val="0000FF"/>
        </w:rPr>
        <w:t>[Omit if not applicable. Modify as necessary</w:t>
      </w:r>
      <w:r w:rsidRPr="00F346C5">
        <w:rPr>
          <w:rFonts w:ascii="Aptos" w:eastAsia="Times New Roman" w:hAnsi="Aptos" w:cs="Arial"/>
          <w:b/>
          <w:color w:val="0000FF"/>
        </w:rPr>
        <w:t>]</w:t>
      </w:r>
    </w:p>
    <w:p w14:paraId="0D240830" w14:textId="77777777" w:rsidR="009D62EA" w:rsidRPr="00F346C5" w:rsidRDefault="009D62EA" w:rsidP="009D62EA">
      <w:pPr>
        <w:spacing w:after="240" w:line="240" w:lineRule="auto"/>
        <w:jc w:val="both"/>
        <w:rPr>
          <w:rFonts w:ascii="Aptos" w:eastAsia="Times New Roman" w:hAnsi="Aptos" w:cs="Times New Roman"/>
        </w:rPr>
      </w:pPr>
      <w:r w:rsidRPr="00F346C5">
        <w:rPr>
          <w:rFonts w:ascii="Aptos" w:hAnsi="Aptos" w:cs="Arial"/>
          <w:b/>
          <w:i/>
          <w:color w:val="0000FF"/>
        </w:rPr>
        <w:t>[GASB 88 also requires the following disclosures if applicable to short-term debt agreements: Assets pledged as collateral for short-term debt, or terms specified in short-term debt agreements related to significant (1) events of default with finance-related consequences, (2) termination events with finance-related consequences, and (3) subjective acceleration clauses]</w:t>
      </w:r>
    </w:p>
    <w:p w14:paraId="3A5AE02C" w14:textId="77777777" w:rsidR="009D62EA" w:rsidRPr="00F346C5" w:rsidRDefault="009D62EA"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r w:rsidRPr="00F346C5">
        <w:rPr>
          <w:rFonts w:ascii="Aptos" w:eastAsia="Times New Roman" w:hAnsi="Aptos" w:cs="Times New Roman"/>
          <w:b/>
          <w:kern w:val="28"/>
        </w:rPr>
        <w:t>Note 9</w:t>
      </w:r>
      <w:r w:rsidRPr="00F346C5">
        <w:rPr>
          <w:rFonts w:ascii="Aptos" w:eastAsia="Times New Roman" w:hAnsi="Aptos" w:cs="Times New Roman"/>
          <w:b/>
          <w:kern w:val="28"/>
        </w:rPr>
        <w:tab/>
        <w:t>-</w:t>
      </w:r>
      <w:r w:rsidRPr="00F346C5">
        <w:rPr>
          <w:rFonts w:ascii="Aptos" w:eastAsia="Times New Roman" w:hAnsi="Aptos" w:cs="Times New Roman"/>
          <w:b/>
          <w:kern w:val="28"/>
        </w:rPr>
        <w:tab/>
        <w:t>Long</w:t>
      </w:r>
      <w:r w:rsidRPr="00F346C5">
        <w:rPr>
          <w:rFonts w:ascii="Aptos" w:eastAsia="Times New Roman" w:hAnsi="Aptos" w:cs="Times New Roman"/>
          <w:b/>
          <w:kern w:val="28"/>
        </w:rPr>
        <w:noBreakHyphen/>
        <w:t>Term Liabilities</w:t>
      </w:r>
    </w:p>
    <w:p w14:paraId="4B56BD71" w14:textId="77777777" w:rsidR="009D62EA" w:rsidRPr="00F346C5" w:rsidRDefault="009D62EA" w:rsidP="009D62EA">
      <w:pPr>
        <w:tabs>
          <w:tab w:val="left" w:pos="1080"/>
        </w:tabs>
        <w:spacing w:after="240" w:line="240" w:lineRule="auto"/>
        <w:jc w:val="both"/>
        <w:rPr>
          <w:rFonts w:ascii="Aptos" w:eastAsia="Times New Roman" w:hAnsi="Aptos" w:cs="Arial"/>
          <w:b/>
          <w:i/>
          <w:color w:val="0000FF"/>
        </w:rPr>
      </w:pPr>
      <w:r w:rsidRPr="00F346C5">
        <w:rPr>
          <w:rFonts w:ascii="Aptos" w:eastAsia="Times New Roman" w:hAnsi="Aptos" w:cs="Arial"/>
          <w:b/>
          <w:i/>
          <w:color w:val="0000FF"/>
          <w:u w:val="single"/>
        </w:rPr>
        <w:t>Note to preparer:</w:t>
      </w:r>
      <w:r w:rsidRPr="00F346C5">
        <w:rPr>
          <w:rFonts w:ascii="Aptos" w:eastAsia="Times New Roman" w:hAnsi="Aptos" w:cs="Arial"/>
          <w:b/>
          <w:i/>
          <w:color w:val="0000FF"/>
        </w:rPr>
        <w:t xml:space="preserve"> Per GASB 88, direct borrowings are those with terms directly negotiated with the lender. GASB 88 paragraph 6 requires that information related to direct borrowings be separated from other debt in the notes to the financial statements.</w:t>
      </w:r>
    </w:p>
    <w:p w14:paraId="59AE8080" w14:textId="6D4A41DD" w:rsidR="009D62EA" w:rsidRPr="00F346C5" w:rsidRDefault="009D62EA" w:rsidP="009D62EA">
      <w:pPr>
        <w:numPr>
          <w:ilvl w:val="0"/>
          <w:numId w:val="29"/>
        </w:numPr>
        <w:spacing w:after="240" w:line="240" w:lineRule="auto"/>
        <w:ind w:left="360"/>
        <w:jc w:val="both"/>
        <w:rPr>
          <w:rFonts w:ascii="Aptos" w:eastAsia="Times New Roman" w:hAnsi="Aptos" w:cs="Arial"/>
        </w:rPr>
      </w:pPr>
      <w:r w:rsidRPr="00F346C5">
        <w:rPr>
          <w:rFonts w:ascii="Aptos" w:eastAsia="Times New Roman" w:hAnsi="Aptos" w:cs="Arial"/>
          <w:b/>
          <w:bCs/>
        </w:rPr>
        <w:t xml:space="preserve">Changes in Long-Term Liabilities </w:t>
      </w:r>
      <w:r w:rsidRPr="00F346C5">
        <w:rPr>
          <w:rFonts w:ascii="Aptos" w:eastAsia="Times New Roman" w:hAnsi="Aptos" w:cs="Arial"/>
          <w:bCs/>
        </w:rPr>
        <w:t>-</w:t>
      </w:r>
      <w:r w:rsidRPr="00F346C5">
        <w:rPr>
          <w:rFonts w:ascii="Aptos" w:eastAsia="Times New Roman" w:hAnsi="Aptos" w:cs="Arial"/>
          <w:b/>
          <w:bCs/>
        </w:rPr>
        <w:t xml:space="preserve"> </w:t>
      </w:r>
      <w:r w:rsidRPr="00F346C5">
        <w:rPr>
          <w:rFonts w:ascii="Aptos" w:eastAsia="Times New Roman" w:hAnsi="Aptos" w:cs="Arial"/>
        </w:rPr>
        <w:t xml:space="preserve">A summary of changes in the long-term liabilities for the year ended </w:t>
      </w:r>
      <w:r w:rsidR="00D001EB" w:rsidRPr="00F346C5">
        <w:rPr>
          <w:rFonts w:ascii="Aptos" w:eastAsia="Times New Roman" w:hAnsi="Aptos" w:cs="Arial"/>
        </w:rPr>
        <w:t xml:space="preserve">June 30, </w:t>
      </w:r>
      <w:r w:rsidR="00064DE8" w:rsidRPr="0019002A">
        <w:rPr>
          <w:rFonts w:ascii="Aptos" w:eastAsia="Times New Roman" w:hAnsi="Aptos" w:cs="Arial"/>
        </w:rPr>
        <w:t>2026</w:t>
      </w:r>
      <w:r w:rsidRPr="00F346C5">
        <w:rPr>
          <w:rFonts w:ascii="Aptos" w:eastAsia="Times New Roman" w:hAnsi="Aptos" w:cs="Arial"/>
        </w:rPr>
        <w:t>, is presented as follows:</w:t>
      </w:r>
    </w:p>
    <w:bookmarkStart w:id="174" w:name="_MON_1589363525"/>
    <w:bookmarkEnd w:id="174"/>
    <w:p w14:paraId="16849049" w14:textId="71B1DBB7" w:rsidR="009D62EA" w:rsidRPr="00F346C5" w:rsidRDefault="0059474E" w:rsidP="00A72825">
      <w:pPr>
        <w:spacing w:after="240" w:line="240" w:lineRule="auto"/>
        <w:ind w:left="180"/>
        <w:jc w:val="both"/>
        <w:rPr>
          <w:rFonts w:ascii="Aptos" w:eastAsia="Times New Roman" w:hAnsi="Aptos" w:cs="Arial"/>
        </w:rPr>
      </w:pPr>
      <w:r w:rsidRPr="00F346C5">
        <w:rPr>
          <w:rFonts w:ascii="Aptos" w:hAnsi="Aptos" w:cs="Arial"/>
          <w:i/>
        </w:rPr>
        <w:object w:dxaOrig="13960" w:dyaOrig="7438" w14:anchorId="24A568CD">
          <v:shape id="_x0000_i1037" type="#_x0000_t75" style="width:483pt;height:263.25pt" o:ole="">
            <v:imagedata r:id="rId49" o:title=""/>
          </v:shape>
          <o:OLEObject Type="Embed" ProgID="Excel.Sheet.12" ShapeID="_x0000_i1037" DrawAspect="Content" ObjectID="_1843297340" r:id="rId50"/>
        </w:object>
      </w:r>
    </w:p>
    <w:p w14:paraId="719CAC97" w14:textId="77777777" w:rsidR="009D62EA" w:rsidRPr="00F346C5" w:rsidRDefault="009D62EA" w:rsidP="009D62EA">
      <w:pPr>
        <w:spacing w:after="240" w:line="240" w:lineRule="auto"/>
        <w:ind w:left="360" w:hanging="360"/>
        <w:jc w:val="both"/>
        <w:rPr>
          <w:rFonts w:ascii="Aptos" w:eastAsia="Times New Roman" w:hAnsi="Aptos" w:cs="Arial"/>
        </w:rPr>
      </w:pPr>
      <w:bookmarkStart w:id="175" w:name="_MON_1526387475"/>
      <w:bookmarkStart w:id="176" w:name="_MON_1188274003"/>
      <w:bookmarkStart w:id="177" w:name="_MON_1188285392"/>
      <w:bookmarkStart w:id="178" w:name="_MON_1192364542"/>
      <w:bookmarkStart w:id="179" w:name="_MON_1208244985"/>
      <w:bookmarkStart w:id="180" w:name="_MON_1212828092"/>
      <w:bookmarkStart w:id="181" w:name="_MON_1220861329"/>
      <w:bookmarkStart w:id="182" w:name="_MON_1220942285"/>
      <w:bookmarkStart w:id="183" w:name="_MON_1220942350"/>
      <w:bookmarkStart w:id="184" w:name="_MON_1220942419"/>
      <w:bookmarkStart w:id="185" w:name="_MON_1220942459"/>
      <w:bookmarkStart w:id="186" w:name="_MON_1220942470"/>
      <w:bookmarkStart w:id="187" w:name="_MON_1220942542"/>
      <w:bookmarkStart w:id="188" w:name="_MON_1222083322"/>
      <w:bookmarkStart w:id="189" w:name="_MON_1222083410"/>
      <w:bookmarkStart w:id="190" w:name="_MON_1222083617"/>
      <w:bookmarkStart w:id="191" w:name="_MON_1243143856"/>
      <w:bookmarkStart w:id="192" w:name="_MON_1246780470"/>
      <w:bookmarkStart w:id="193" w:name="_MON_1246862036"/>
      <w:bookmarkStart w:id="194" w:name="_MON_1264248523"/>
      <w:bookmarkStart w:id="195" w:name="_MON_1283839628"/>
      <w:bookmarkStart w:id="196" w:name="_MON_1300515301"/>
      <w:bookmarkStart w:id="197" w:name="_MON_1302418223"/>
      <w:bookmarkStart w:id="198" w:name="_MON_1302418449"/>
      <w:bookmarkStart w:id="199" w:name="_MON_1302418459"/>
      <w:bookmarkStart w:id="200" w:name="_MON_1305023603"/>
      <w:bookmarkStart w:id="201" w:name="_MON_1305632409"/>
      <w:bookmarkStart w:id="202" w:name="_MON_1305632576"/>
      <w:bookmarkStart w:id="203" w:name="_MON_1305632587"/>
      <w:bookmarkStart w:id="204" w:name="_MON_1305632921"/>
      <w:bookmarkStart w:id="205" w:name="_MON_1331964739"/>
      <w:bookmarkStart w:id="206" w:name="_MON_1349264214"/>
      <w:bookmarkStart w:id="207" w:name="_MON_1362380383"/>
      <w:bookmarkStart w:id="208" w:name="_MON_1372676412"/>
      <w:bookmarkStart w:id="209" w:name="_MON_1375524306"/>
      <w:bookmarkStart w:id="210" w:name="_MON_1401869055"/>
      <w:bookmarkStart w:id="211" w:name="_MON_1401871615"/>
      <w:bookmarkStart w:id="212" w:name="_MON_1421219475"/>
      <w:bookmarkStart w:id="213" w:name="_MON_1118934630"/>
      <w:bookmarkStart w:id="214" w:name="_MON_1118934637"/>
      <w:bookmarkStart w:id="215" w:name="_MON_1119000609"/>
      <w:bookmarkStart w:id="216" w:name="_MON_1119000770"/>
      <w:bookmarkStart w:id="217" w:name="_MON_1119089037"/>
      <w:bookmarkStart w:id="218" w:name="_MON_1121238495"/>
      <w:bookmarkStart w:id="219" w:name="_MON_1145687960"/>
      <w:bookmarkStart w:id="220" w:name="_MON_1145688087"/>
      <w:bookmarkStart w:id="221" w:name="_MON_1145688213"/>
      <w:bookmarkStart w:id="222" w:name="_MON_1148645930"/>
      <w:bookmarkStart w:id="223" w:name="_MON_1148646616"/>
      <w:bookmarkStart w:id="224" w:name="_MON_1159610699"/>
      <w:bookmarkStart w:id="225" w:name="_MON_1188220119"/>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F346C5">
        <w:rPr>
          <w:rFonts w:ascii="Aptos" w:eastAsia="Times New Roman" w:hAnsi="Aptos" w:cs="Arial"/>
          <w:b/>
        </w:rPr>
        <w:t>B.</w:t>
      </w:r>
      <w:r w:rsidRPr="00F346C5">
        <w:rPr>
          <w:rFonts w:ascii="Aptos" w:eastAsia="Times New Roman" w:hAnsi="Aptos" w:cs="Arial"/>
          <w:b/>
        </w:rPr>
        <w:tab/>
        <w:t xml:space="preserve">Notes from Direct Borrowings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rPr>
        <w:t>The College was indebted for notes from direct borrowings for the purpose</w:t>
      </w:r>
      <w:r w:rsidRPr="00F346C5">
        <w:rPr>
          <w:rFonts w:ascii="Aptos" w:eastAsia="Times New Roman" w:hAnsi="Aptos" w:cs="Arial"/>
          <w:b/>
          <w:color w:val="0000FF"/>
        </w:rPr>
        <w:t>(s)</w:t>
      </w:r>
      <w:r w:rsidRPr="00F346C5">
        <w:rPr>
          <w:rFonts w:ascii="Aptos" w:eastAsia="Times New Roman" w:hAnsi="Aptos" w:cs="Arial"/>
          <w:color w:val="0000FF"/>
        </w:rPr>
        <w:t xml:space="preserve"> </w:t>
      </w:r>
      <w:r w:rsidRPr="00F346C5">
        <w:rPr>
          <w:rFonts w:ascii="Aptos" w:eastAsia="Times New Roman" w:hAnsi="Aptos" w:cs="Arial"/>
        </w:rPr>
        <w:t>shown in the following table:</w:t>
      </w:r>
    </w:p>
    <w:bookmarkStart w:id="226" w:name="_1148646917"/>
    <w:bookmarkStart w:id="227" w:name="_MON_1118938302"/>
    <w:bookmarkStart w:id="228" w:name="_MON_1118938429"/>
    <w:bookmarkStart w:id="229" w:name="_MON_1119000956"/>
    <w:bookmarkStart w:id="230" w:name="_MON_1119080190"/>
    <w:bookmarkStart w:id="231" w:name="_MON_1188275078"/>
    <w:bookmarkStart w:id="232" w:name="_MON_1188275127"/>
    <w:bookmarkStart w:id="233" w:name="_MON_1188287476"/>
    <w:bookmarkStart w:id="234" w:name="_MON_1192432781"/>
    <w:bookmarkStart w:id="235" w:name="_MON_1220944683"/>
    <w:bookmarkStart w:id="236" w:name="_MON_1220944825"/>
    <w:bookmarkStart w:id="237" w:name="_1243144100"/>
    <w:bookmarkStart w:id="238" w:name="_MON_1264249274"/>
    <w:bookmarkStart w:id="239" w:name="_MON_1300515770"/>
    <w:bookmarkStart w:id="240" w:name="_MON_1331964758"/>
    <w:bookmarkStart w:id="241" w:name="_MON_1362380408"/>
    <w:bookmarkStart w:id="242" w:name="_MON_1401869070"/>
    <w:bookmarkStart w:id="243" w:name="_MON_1402726465"/>
    <w:bookmarkStart w:id="244" w:name="_MON_1421219498"/>
    <w:bookmarkStart w:id="245" w:name="_MON_1118936026"/>
    <w:bookmarkStart w:id="246" w:name="_MON_1118937547"/>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Start w:id="247" w:name="_MON_1118938214"/>
    <w:bookmarkEnd w:id="247"/>
    <w:p w14:paraId="229612DF" w14:textId="203510D4" w:rsidR="009D62EA" w:rsidRPr="00F346C5" w:rsidRDefault="00887AF1" w:rsidP="009D62EA">
      <w:pPr>
        <w:spacing w:after="240" w:line="240" w:lineRule="auto"/>
        <w:ind w:left="360"/>
        <w:jc w:val="center"/>
        <w:rPr>
          <w:rFonts w:ascii="Aptos" w:eastAsia="Times New Roman" w:hAnsi="Aptos" w:cs="Arial"/>
        </w:rPr>
      </w:pPr>
      <w:r w:rsidRPr="00F346C5">
        <w:rPr>
          <w:rFonts w:ascii="Aptos" w:eastAsia="Times New Roman" w:hAnsi="Aptos" w:cs="Arial"/>
        </w:rPr>
        <w:object w:dxaOrig="8033" w:dyaOrig="2527" w14:anchorId="78B251C4">
          <v:shape id="_x0000_i1038" type="#_x0000_t75" style="width:349.5pt;height:111pt" o:ole="">
            <v:imagedata r:id="rId51" o:title=""/>
          </v:shape>
          <o:OLEObject Type="Embed" ProgID="Excel.Sheet.12" ShapeID="_x0000_i1038" DrawAspect="Content" ObjectID="_1843297341" r:id="rId52"/>
        </w:object>
      </w:r>
    </w:p>
    <w:p w14:paraId="725EABC8" w14:textId="77777777" w:rsidR="009D62EA" w:rsidRPr="00F346C5" w:rsidRDefault="009D62EA" w:rsidP="009D62EA">
      <w:pPr>
        <w:spacing w:after="240" w:line="240" w:lineRule="auto"/>
        <w:ind w:left="360"/>
        <w:jc w:val="both"/>
        <w:rPr>
          <w:rFonts w:ascii="Aptos" w:eastAsia="Times New Roman" w:hAnsi="Aptos" w:cs="Arial"/>
          <w:color w:val="0000FF"/>
        </w:rPr>
      </w:pPr>
      <w:r w:rsidRPr="00F346C5">
        <w:rPr>
          <w:rFonts w:ascii="Aptos" w:eastAsia="Times New Roman" w:hAnsi="Aptos" w:cs="Arial"/>
          <w:b/>
          <w:i/>
          <w:color w:val="0000FF"/>
        </w:rPr>
        <w:t xml:space="preserve">[Note to preparer: If any notes are secured by pledged revenues, see </w:t>
      </w:r>
      <w:bookmarkStart w:id="248" w:name="OLE_LINK16"/>
      <w:r w:rsidRPr="00F346C5">
        <w:rPr>
          <w:rFonts w:ascii="Aptos" w:eastAsia="Times New Roman" w:hAnsi="Aptos" w:cs="Arial"/>
          <w:b/>
          <w:i/>
          <w:color w:val="0000FF"/>
        </w:rPr>
        <w:t>GASB 48 for disclosure requirements</w:t>
      </w:r>
      <w:bookmarkEnd w:id="248"/>
      <w:r w:rsidRPr="00F346C5">
        <w:rPr>
          <w:rFonts w:ascii="Aptos" w:eastAsia="Times New Roman" w:hAnsi="Aptos" w:cs="Arial"/>
          <w:b/>
          <w:i/>
          <w:color w:val="0000FF"/>
        </w:rPr>
        <w:t>. The pledged revenue disclosure does not apply to the energy savings contracts.]</w:t>
      </w:r>
    </w:p>
    <w:p w14:paraId="34F10F65" w14:textId="54CDB32B" w:rsidR="009D62EA" w:rsidRPr="00F346C5" w:rsidRDefault="009D62EA" w:rsidP="009D62EA">
      <w:pPr>
        <w:spacing w:after="240" w:line="240" w:lineRule="auto"/>
        <w:ind w:left="360"/>
        <w:jc w:val="both"/>
        <w:rPr>
          <w:rFonts w:ascii="Aptos" w:eastAsia="Times New Roman" w:hAnsi="Aptos" w:cs="Arial"/>
          <w:color w:val="000000"/>
        </w:rPr>
      </w:pPr>
      <w:r w:rsidRPr="00F346C5">
        <w:rPr>
          <w:rFonts w:ascii="Aptos" w:eastAsia="Times New Roman" w:hAnsi="Aptos" w:cs="Arial"/>
        </w:rPr>
        <w:t xml:space="preserve">The annual requirements to pay principal and interest on notes from direct borrowings at </w:t>
      </w:r>
      <w:r w:rsidR="00D001EB" w:rsidRPr="00F346C5">
        <w:rPr>
          <w:rFonts w:ascii="Aptos" w:eastAsia="Times New Roman" w:hAnsi="Aptos" w:cs="Arial"/>
        </w:rPr>
        <w:t xml:space="preserve">June 30, </w:t>
      </w:r>
      <w:r w:rsidR="00D001EB" w:rsidRPr="0019002A">
        <w:rPr>
          <w:rFonts w:ascii="Aptos" w:eastAsia="Times New Roman" w:hAnsi="Aptos" w:cs="Arial"/>
        </w:rPr>
        <w:t>202</w:t>
      </w:r>
      <w:r w:rsidR="00887AF1" w:rsidRPr="0019002A">
        <w:rPr>
          <w:rFonts w:ascii="Aptos" w:eastAsia="Times New Roman" w:hAnsi="Aptos" w:cs="Arial"/>
        </w:rPr>
        <w:t>6</w:t>
      </w:r>
      <w:r w:rsidRPr="00F346C5">
        <w:rPr>
          <w:rFonts w:ascii="Aptos" w:eastAsia="Times New Roman" w:hAnsi="Aptos" w:cs="Arial"/>
        </w:rPr>
        <w:t>, are as follows:</w:t>
      </w:r>
    </w:p>
    <w:bookmarkStart w:id="249" w:name="_1244620972"/>
    <w:bookmarkStart w:id="250" w:name="_MON_1116936586"/>
    <w:bookmarkStart w:id="251" w:name="_MON_1119356557"/>
    <w:bookmarkStart w:id="252" w:name="_MON_1119356794"/>
    <w:bookmarkStart w:id="253" w:name="_MON_1119358544"/>
    <w:bookmarkStart w:id="254" w:name="_MON_1122724808"/>
    <w:bookmarkStart w:id="255" w:name="_MON_1148111691"/>
    <w:bookmarkStart w:id="256" w:name="_MON_1148111797"/>
    <w:bookmarkStart w:id="257" w:name="_MON_1149320568"/>
    <w:bookmarkStart w:id="258" w:name="_MON_1188192595"/>
    <w:bookmarkStart w:id="259" w:name="_MON_1188194947"/>
    <w:bookmarkStart w:id="260" w:name="_MON_1213767893"/>
    <w:bookmarkStart w:id="261" w:name="_MON_1213768005"/>
    <w:bookmarkStart w:id="262" w:name="_MON_1244621047"/>
    <w:bookmarkStart w:id="263" w:name="_MON_1277202836"/>
    <w:bookmarkStart w:id="264" w:name="_1277202913"/>
    <w:bookmarkStart w:id="265" w:name="_MON_1286773368"/>
    <w:bookmarkStart w:id="266" w:name="_MON_1286773679"/>
    <w:bookmarkStart w:id="267" w:name="_MON_1305632693"/>
    <w:bookmarkStart w:id="268" w:name="_MON_1331964780"/>
    <w:bookmarkStart w:id="269" w:name="_MON_1362380428"/>
    <w:bookmarkStart w:id="270" w:name="_MON_1362380442"/>
    <w:bookmarkStart w:id="271" w:name="_MON_1362380448"/>
    <w:bookmarkStart w:id="272" w:name="_MON_1401869090"/>
    <w:bookmarkStart w:id="273" w:name="_MON_1402726524"/>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Start w:id="274" w:name="_MON_1116936435"/>
    <w:bookmarkEnd w:id="274"/>
    <w:p w14:paraId="1EE8535C" w14:textId="173169CE" w:rsidR="009D62EA" w:rsidRPr="00F346C5" w:rsidRDefault="006E62E5" w:rsidP="009D62EA">
      <w:pPr>
        <w:spacing w:after="240" w:line="240" w:lineRule="auto"/>
        <w:ind w:left="360"/>
        <w:jc w:val="center"/>
        <w:rPr>
          <w:rFonts w:ascii="Aptos" w:eastAsia="Times New Roman" w:hAnsi="Aptos" w:cs="Arial"/>
        </w:rPr>
      </w:pPr>
      <w:r w:rsidRPr="00F346C5">
        <w:rPr>
          <w:rFonts w:ascii="Aptos" w:eastAsia="Times New Roman" w:hAnsi="Aptos" w:cs="Arial"/>
        </w:rPr>
        <w:object w:dxaOrig="5229" w:dyaOrig="2873" w14:anchorId="6BF7CF7A">
          <v:shape id="_x0000_i1039" type="#_x0000_t75" style="width:246pt;height:136.5pt" o:ole="">
            <v:imagedata r:id="rId53" o:title=""/>
          </v:shape>
          <o:OLEObject Type="Embed" ProgID="Excel.Sheet.12" ShapeID="_x0000_i1039" DrawAspect="Content" ObjectID="_1843297342" r:id="rId54"/>
        </w:object>
      </w:r>
    </w:p>
    <w:p w14:paraId="51D2B6B4" w14:textId="77777777" w:rsidR="009D62EA" w:rsidRPr="00F346C5" w:rsidRDefault="009D62EA" w:rsidP="009D62EA">
      <w:pPr>
        <w:spacing w:after="240" w:line="240" w:lineRule="auto"/>
        <w:ind w:left="360"/>
        <w:jc w:val="both"/>
        <w:rPr>
          <w:rFonts w:ascii="Aptos" w:eastAsia="Times New Roman" w:hAnsi="Aptos" w:cs="Arial"/>
          <w:b/>
          <w:i/>
          <w:color w:val="0000FF"/>
        </w:rPr>
      </w:pPr>
      <w:r w:rsidRPr="00F346C5">
        <w:rPr>
          <w:rFonts w:ascii="Aptos" w:eastAsia="Times New Roman" w:hAnsi="Aptos" w:cs="Arial"/>
          <w:b/>
          <w:i/>
          <w:color w:val="0000FF"/>
        </w:rPr>
        <w:t>[Report any long-term liabilities representing the College’s obligation to make payments under a Licensing Agreement (for commercially available software acquired through a licensing agreement requiring multi-year payments) in the above Notes Payable table.]</w:t>
      </w:r>
    </w:p>
    <w:p w14:paraId="1BB7FFC5" w14:textId="77777777" w:rsidR="009D62EA" w:rsidRPr="00F346C5" w:rsidRDefault="009D62EA" w:rsidP="009D62EA">
      <w:pPr>
        <w:spacing w:after="240" w:line="240" w:lineRule="auto"/>
        <w:ind w:left="360" w:hanging="360"/>
        <w:jc w:val="both"/>
        <w:rPr>
          <w:rFonts w:ascii="Aptos" w:eastAsia="Times New Roman" w:hAnsi="Aptos" w:cs="Arial"/>
          <w:b/>
          <w:i/>
          <w:color w:val="0000FF"/>
        </w:rPr>
      </w:pPr>
      <w:r w:rsidRPr="00F346C5">
        <w:rPr>
          <w:rFonts w:ascii="Aptos" w:eastAsia="Times New Roman" w:hAnsi="Aptos" w:cs="Arial"/>
          <w:b/>
        </w:rPr>
        <w:t>C.</w:t>
      </w:r>
      <w:r w:rsidRPr="00F346C5">
        <w:rPr>
          <w:rFonts w:ascii="Aptos" w:eastAsia="Times New Roman" w:hAnsi="Aptos" w:cs="Arial"/>
          <w:b/>
        </w:rPr>
        <w:tab/>
      </w:r>
      <w:r w:rsidRPr="00F346C5">
        <w:rPr>
          <w:rFonts w:ascii="Aptos" w:eastAsia="Times New Roman" w:hAnsi="Aptos" w:cs="Arial"/>
          <w:b/>
          <w:color w:val="000000"/>
        </w:rPr>
        <w:t xml:space="preserve">Terms of Debt Agreements </w:t>
      </w:r>
      <w:r w:rsidRPr="00F346C5">
        <w:rPr>
          <w:rFonts w:ascii="Aptos" w:eastAsia="Times New Roman" w:hAnsi="Aptos" w:cs="Arial"/>
          <w:color w:val="000000"/>
        </w:rPr>
        <w:t xml:space="preserve">- </w:t>
      </w:r>
      <w:r w:rsidRPr="00F346C5">
        <w:rPr>
          <w:rFonts w:ascii="Aptos" w:eastAsia="Times New Roman" w:hAnsi="Aptos" w:cs="Arial"/>
          <w:b/>
          <w:i/>
          <w:color w:val="0000FF"/>
        </w:rPr>
        <w:t>[Per GASB 88 paragraph 5(b)-(c), disclosure should include assets pledged as collateral for debt as well as terms specified in debt agreements related to significant (1) events of default with finance-related consequences, (2) termination events with finance-related consequences, and (3) subjective acceleration clauses.]</w:t>
      </w:r>
      <w:r w:rsidRPr="00F346C5">
        <w:rPr>
          <w:rFonts w:ascii="Aptos" w:eastAsia="Times New Roman" w:hAnsi="Aptos" w:cs="Arial"/>
          <w:b/>
          <w:color w:val="0000FF"/>
        </w:rPr>
        <w:t xml:space="preserve"> </w:t>
      </w:r>
      <w:r w:rsidRPr="00F346C5">
        <w:rPr>
          <w:rFonts w:ascii="Aptos" w:eastAsia="Times New Roman" w:hAnsi="Aptos" w:cs="Arial"/>
        </w:rPr>
        <w:t>The Colleges’ debt agreements are subject to the following collateral requirements and terms with finance-related consequences:</w:t>
      </w:r>
      <w:r w:rsidRPr="00F346C5">
        <w:rPr>
          <w:rFonts w:ascii="Aptos" w:eastAsia="Times New Roman" w:hAnsi="Aptos" w:cs="Arial"/>
          <w:b/>
          <w:i/>
          <w:color w:val="0000FF"/>
        </w:rPr>
        <w:t xml:space="preserve"> [Modify as necessary.]</w:t>
      </w:r>
    </w:p>
    <w:p w14:paraId="7CDBDD03" w14:textId="77777777" w:rsidR="009D62EA" w:rsidRPr="00F346C5" w:rsidRDefault="009D62EA" w:rsidP="009D62EA">
      <w:pPr>
        <w:spacing w:after="240" w:line="240" w:lineRule="auto"/>
        <w:ind w:left="360"/>
        <w:jc w:val="both"/>
        <w:rPr>
          <w:rFonts w:ascii="Aptos" w:eastAsia="Times New Roman" w:hAnsi="Aptos" w:cs="Arial"/>
          <w:b/>
          <w:i/>
          <w:color w:val="0000FF"/>
        </w:rPr>
      </w:pPr>
      <w:r w:rsidRPr="00F346C5">
        <w:rPr>
          <w:rFonts w:ascii="Aptos" w:eastAsia="Times New Roman" w:hAnsi="Aptos" w:cs="Arial"/>
          <w:b/>
        </w:rPr>
        <w:t xml:space="preserve">Notes from Direct Borrowings </w:t>
      </w:r>
      <w:r w:rsidRPr="00F346C5">
        <w:rPr>
          <w:rFonts w:ascii="Aptos" w:eastAsia="Times New Roman" w:hAnsi="Aptos" w:cs="Arial"/>
        </w:rPr>
        <w:t xml:space="preserve">- </w:t>
      </w:r>
      <w:r w:rsidRPr="00F346C5">
        <w:rPr>
          <w:rFonts w:ascii="Aptos" w:eastAsia="Times New Roman" w:hAnsi="Aptos" w:cs="Arial"/>
          <w:b/>
          <w:i/>
          <w:color w:val="0000FF"/>
        </w:rPr>
        <w:t>[Describe assets pledged as collateral and significant terms. Similar terms can be referenced for multiple notes, as applicable. Omit if not applicable.]</w:t>
      </w:r>
    </w:p>
    <w:p w14:paraId="19BAC1FD" w14:textId="77777777" w:rsidR="009D62EA" w:rsidRPr="00F346C5" w:rsidRDefault="009D62EA" w:rsidP="009D62EA">
      <w:pPr>
        <w:spacing w:after="240" w:line="240" w:lineRule="auto"/>
        <w:ind w:left="360"/>
        <w:jc w:val="both"/>
        <w:rPr>
          <w:rFonts w:ascii="Aptos" w:eastAsia="Times New Roman" w:hAnsi="Aptos" w:cs="Arial"/>
          <w:b/>
        </w:rPr>
      </w:pPr>
      <w:r w:rsidRPr="00F346C5">
        <w:rPr>
          <w:rFonts w:ascii="Aptos" w:eastAsia="Times New Roman" w:hAnsi="Aptos" w:cs="Arial"/>
          <w:b/>
        </w:rPr>
        <w:t xml:space="preserve">Anticipation Notes </w:t>
      </w:r>
      <w:r w:rsidRPr="00F346C5">
        <w:rPr>
          <w:rFonts w:ascii="Aptos" w:eastAsia="Times New Roman" w:hAnsi="Aptos" w:cs="Arial"/>
        </w:rPr>
        <w:t xml:space="preserve">- </w:t>
      </w:r>
      <w:r w:rsidRPr="00F346C5">
        <w:rPr>
          <w:rFonts w:ascii="Aptos" w:eastAsia="Times New Roman" w:hAnsi="Aptos" w:cs="Arial"/>
          <w:b/>
          <w:i/>
          <w:color w:val="0000FF"/>
        </w:rPr>
        <w:t>[Describe assets pledged as collateral and significant terms. Similar terms can be referenced for multiple notes, as applicable. Omit if not applicable.]</w:t>
      </w:r>
    </w:p>
    <w:p w14:paraId="2CB0D12A" w14:textId="77777777" w:rsidR="009D62EA" w:rsidRPr="00F346C5" w:rsidRDefault="009D62EA" w:rsidP="009D62EA">
      <w:pPr>
        <w:spacing w:after="240" w:line="240" w:lineRule="auto"/>
        <w:ind w:left="360" w:hanging="360"/>
        <w:jc w:val="both"/>
        <w:rPr>
          <w:rFonts w:ascii="Aptos" w:eastAsia="Times New Roman" w:hAnsi="Aptos" w:cs="Arial"/>
          <w:color w:val="000000"/>
        </w:rPr>
      </w:pPr>
      <w:r w:rsidRPr="00F346C5">
        <w:rPr>
          <w:rFonts w:ascii="Aptos" w:eastAsia="Times New Roman" w:hAnsi="Aptos" w:cs="Arial"/>
          <w:b/>
        </w:rPr>
        <w:t xml:space="preserve">D. </w:t>
      </w:r>
      <w:r w:rsidRPr="00F346C5">
        <w:rPr>
          <w:rFonts w:ascii="Aptos" w:eastAsia="Times New Roman" w:hAnsi="Aptos" w:cs="Arial"/>
          <w:b/>
        </w:rPr>
        <w:tab/>
        <w:t xml:space="preserve">Annuities Payable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b/>
          <w:i/>
          <w:color w:val="0000FF"/>
        </w:rPr>
        <w:t>[Provide description of annuities payable, if applicable.]</w:t>
      </w:r>
    </w:p>
    <w:p w14:paraId="16551253" w14:textId="77777777" w:rsidR="009D62EA" w:rsidRPr="00F346C5" w:rsidRDefault="009D62EA" w:rsidP="009D62EA">
      <w:pPr>
        <w:spacing w:after="240" w:line="240" w:lineRule="auto"/>
        <w:ind w:left="360" w:hanging="360"/>
        <w:jc w:val="both"/>
        <w:rPr>
          <w:rFonts w:ascii="Aptos" w:eastAsia="Times New Roman" w:hAnsi="Aptos" w:cs="Arial"/>
          <w:color w:val="000000"/>
        </w:rPr>
      </w:pPr>
      <w:r w:rsidRPr="00F346C5">
        <w:rPr>
          <w:rFonts w:ascii="Aptos" w:eastAsia="Times New Roman" w:hAnsi="Aptos" w:cs="Arial"/>
          <w:b/>
        </w:rPr>
        <w:t>E.</w:t>
      </w:r>
      <w:r w:rsidRPr="00F346C5">
        <w:rPr>
          <w:rFonts w:ascii="Aptos" w:eastAsia="Times New Roman" w:hAnsi="Aptos" w:cs="Arial"/>
          <w:b/>
        </w:rPr>
        <w:tab/>
        <w:t>Pollution Remediation Payable</w:t>
      </w:r>
      <w:r w:rsidRPr="00F346C5">
        <w:rPr>
          <w:rFonts w:ascii="Aptos" w:eastAsia="Times New Roman" w:hAnsi="Aptos" w:cs="Arial"/>
        </w:rPr>
        <w:t xml:space="preserve"> - </w:t>
      </w:r>
      <w:r w:rsidRPr="00F346C5">
        <w:rPr>
          <w:rFonts w:ascii="Aptos" w:eastAsia="Times New Roman" w:hAnsi="Aptos" w:cs="Arial"/>
          <w:b/>
          <w:i/>
          <w:color w:val="0000FF"/>
        </w:rPr>
        <w:t>[See GASB 49, Accounting and Financial Reporting for Pollution Remediation Obligations. An example is provided as follows.]</w:t>
      </w:r>
      <w:r w:rsidRPr="00F346C5">
        <w:rPr>
          <w:rFonts w:ascii="Aptos" w:eastAsia="Times New Roman" w:hAnsi="Aptos" w:cs="Arial"/>
          <w:color w:val="000000"/>
        </w:rPr>
        <w:t xml:space="preserve"> </w:t>
      </w:r>
      <w:r w:rsidRPr="00F346C5">
        <w:rPr>
          <w:rFonts w:ascii="Aptos" w:eastAsia="Times New Roman" w:hAnsi="Aptos" w:cs="Arial"/>
        </w:rPr>
        <w:t xml:space="preserve">The College has recognized a pollution remediation liability for </w:t>
      </w:r>
      <w:r w:rsidRPr="00F346C5">
        <w:rPr>
          <w:rFonts w:ascii="Aptos" w:eastAsia="Times New Roman" w:hAnsi="Aptos" w:cs="Arial"/>
          <w:b/>
          <w:color w:val="0000FF"/>
        </w:rPr>
        <w:t>[describe the nature and source of liability]</w:t>
      </w:r>
      <w:r w:rsidRPr="00F346C5">
        <w:rPr>
          <w:rFonts w:ascii="Aptos" w:eastAsia="Times New Roman" w:hAnsi="Aptos" w:cs="Arial"/>
          <w:color w:val="000000"/>
        </w:rPr>
        <w:t xml:space="preserve">. </w:t>
      </w:r>
      <w:r w:rsidRPr="00F346C5">
        <w:rPr>
          <w:rFonts w:ascii="Aptos" w:eastAsia="Times New Roman" w:hAnsi="Aptos" w:cs="Arial"/>
        </w:rPr>
        <w:t xml:space="preserve">The amount of the estimated liability is $__________. This estimate was calculated </w:t>
      </w:r>
      <w:r w:rsidRPr="00F346C5">
        <w:rPr>
          <w:rFonts w:ascii="Aptos" w:eastAsia="Times New Roman" w:hAnsi="Aptos" w:cs="Arial"/>
          <w:b/>
          <w:color w:val="0000FF"/>
        </w:rPr>
        <w:t>[describe the methods and assumptions used when calculating the estimated liability]</w:t>
      </w:r>
      <w:r w:rsidRPr="00F346C5">
        <w:rPr>
          <w:rFonts w:ascii="Aptos" w:eastAsia="Times New Roman" w:hAnsi="Aptos" w:cs="Arial"/>
        </w:rPr>
        <w:t xml:space="preserve">. This liability is subject to potential changes due to </w:t>
      </w:r>
      <w:r w:rsidRPr="00F346C5">
        <w:rPr>
          <w:rFonts w:ascii="Aptos" w:eastAsia="Times New Roman" w:hAnsi="Aptos" w:cs="Arial"/>
          <w:b/>
          <w:color w:val="0000FF"/>
        </w:rPr>
        <w:t>[describe potential changes; for example, price increases or reductions, technology, or applicable laws or regulations]</w:t>
      </w:r>
      <w:r w:rsidRPr="00F346C5">
        <w:rPr>
          <w:rFonts w:ascii="Aptos" w:eastAsia="Times New Roman" w:hAnsi="Aptos" w:cs="Arial"/>
          <w:color w:val="000000"/>
        </w:rPr>
        <w:t xml:space="preserve">. </w:t>
      </w:r>
      <w:r w:rsidRPr="00F346C5">
        <w:rPr>
          <w:rFonts w:ascii="Aptos" w:eastAsia="Times New Roman" w:hAnsi="Aptos" w:cs="Arial"/>
        </w:rPr>
        <w:t xml:space="preserve">The amount of the estimated recoveries for this estimated liability is $___________. </w:t>
      </w:r>
      <w:r w:rsidRPr="00F346C5">
        <w:rPr>
          <w:rFonts w:ascii="Aptos" w:eastAsia="Times New Roman" w:hAnsi="Aptos" w:cs="Arial"/>
          <w:b/>
          <w:i/>
          <w:color w:val="0000FF"/>
        </w:rPr>
        <w:t>[Omit if not applicable. Modify as necessary.]</w:t>
      </w:r>
    </w:p>
    <w:p w14:paraId="58ACBA5D" w14:textId="77777777" w:rsidR="009D62EA" w:rsidRPr="00F346C5" w:rsidRDefault="009D62EA" w:rsidP="009D62EA">
      <w:pPr>
        <w:spacing w:after="240" w:line="240" w:lineRule="auto"/>
        <w:ind w:left="360"/>
        <w:jc w:val="both"/>
        <w:rPr>
          <w:rFonts w:ascii="Aptos" w:eastAsia="Times New Roman" w:hAnsi="Aptos" w:cs="Arial"/>
          <w:b/>
          <w:i/>
          <w:color w:val="0000FF"/>
        </w:rPr>
      </w:pPr>
      <w:r w:rsidRPr="00F346C5">
        <w:rPr>
          <w:rFonts w:ascii="Aptos" w:eastAsia="Times New Roman" w:hAnsi="Aptos" w:cs="Arial"/>
        </w:rPr>
        <w:t xml:space="preserve">The College has a pollution remediation liability that could not yet be recognized because it is not reasonably estimable. This liability is </w:t>
      </w:r>
      <w:r w:rsidRPr="00F346C5">
        <w:rPr>
          <w:rFonts w:ascii="Aptos" w:eastAsia="Times New Roman" w:hAnsi="Aptos" w:cs="Arial"/>
          <w:b/>
          <w:color w:val="0000FF"/>
        </w:rPr>
        <w:t>[provide a general description of the nature of the pollution remediation activities]</w:t>
      </w:r>
      <w:r w:rsidRPr="00F346C5">
        <w:rPr>
          <w:rFonts w:ascii="Aptos" w:eastAsia="Times New Roman" w:hAnsi="Aptos" w:cs="Arial"/>
          <w:color w:val="000000"/>
        </w:rPr>
        <w:t xml:space="preserve">. </w:t>
      </w:r>
      <w:r w:rsidRPr="00F346C5">
        <w:rPr>
          <w:rFonts w:ascii="Aptos" w:eastAsia="Times New Roman" w:hAnsi="Aptos" w:cs="Arial"/>
          <w:b/>
          <w:i/>
          <w:color w:val="0000FF"/>
        </w:rPr>
        <w:t>[Omit if not applicable. Modify as necessary.]</w:t>
      </w:r>
    </w:p>
    <w:p w14:paraId="7576752C" w14:textId="77777777" w:rsidR="009D62EA" w:rsidRPr="00F346C5" w:rsidRDefault="009D62EA" w:rsidP="009D62EA">
      <w:pPr>
        <w:spacing w:after="240" w:line="240" w:lineRule="auto"/>
        <w:ind w:left="360" w:hanging="360"/>
        <w:jc w:val="both"/>
        <w:rPr>
          <w:rFonts w:ascii="Aptos" w:eastAsia="Times New Roman" w:hAnsi="Aptos" w:cs="Arial"/>
          <w:b/>
        </w:rPr>
      </w:pPr>
      <w:r w:rsidRPr="00F346C5">
        <w:rPr>
          <w:rFonts w:ascii="Aptos" w:eastAsia="Times New Roman" w:hAnsi="Aptos" w:cs="Arial"/>
          <w:b/>
        </w:rPr>
        <w:t xml:space="preserve">F. </w:t>
      </w:r>
      <w:r w:rsidRPr="00F346C5">
        <w:rPr>
          <w:rFonts w:ascii="Aptos" w:eastAsia="Times New Roman" w:hAnsi="Aptos" w:cs="Arial"/>
          <w:b/>
        </w:rPr>
        <w:tab/>
        <w:t xml:space="preserve">Anticipation Notes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rPr>
        <w:t xml:space="preserve">On </w:t>
      </w:r>
      <w:r w:rsidRPr="00F346C5">
        <w:rPr>
          <w:rFonts w:ascii="Aptos" w:eastAsia="Times New Roman" w:hAnsi="Aptos" w:cs="Arial"/>
          <w:color w:val="0000FF"/>
        </w:rPr>
        <w:t>[Date]</w:t>
      </w:r>
      <w:r w:rsidRPr="00F346C5">
        <w:rPr>
          <w:rFonts w:ascii="Aptos" w:eastAsia="Times New Roman" w:hAnsi="Aptos" w:cs="Arial"/>
        </w:rPr>
        <w:t xml:space="preserve">, the College entered into a loan agreement with </w:t>
      </w:r>
      <w:r w:rsidRPr="00F346C5">
        <w:rPr>
          <w:rFonts w:ascii="Aptos" w:eastAsia="Times New Roman" w:hAnsi="Aptos" w:cs="Arial"/>
          <w:color w:val="0000FF"/>
        </w:rPr>
        <w:t>[Lending Institution]</w:t>
      </w:r>
      <w:r w:rsidRPr="00F346C5">
        <w:rPr>
          <w:rFonts w:ascii="Aptos" w:eastAsia="Times New Roman" w:hAnsi="Aptos" w:cs="Arial"/>
        </w:rPr>
        <w:t xml:space="preserve"> for $________ to be repaid with note proceeds received in </w:t>
      </w:r>
      <w:r w:rsidRPr="00F346C5">
        <w:rPr>
          <w:rFonts w:ascii="Aptos" w:eastAsia="Times New Roman" w:hAnsi="Aptos" w:cs="Arial"/>
          <w:color w:val="0000FF"/>
        </w:rPr>
        <w:t>[Date]</w:t>
      </w:r>
      <w:r w:rsidRPr="00F346C5">
        <w:rPr>
          <w:rFonts w:ascii="Aptos" w:eastAsia="Times New Roman" w:hAnsi="Aptos" w:cs="Arial"/>
        </w:rPr>
        <w:t xml:space="preserve"> as disclosed in </w:t>
      </w:r>
      <w:r w:rsidRPr="00F346C5">
        <w:rPr>
          <w:rFonts w:ascii="Aptos" w:eastAsia="Times New Roman" w:hAnsi="Aptos" w:cs="Arial"/>
        </w:rPr>
        <w:lastRenderedPageBreak/>
        <w:t xml:space="preserve">Subsequent Event Note ___. </w:t>
      </w:r>
      <w:r w:rsidRPr="00F346C5">
        <w:rPr>
          <w:rFonts w:ascii="Aptos" w:eastAsia="Times New Roman" w:hAnsi="Aptos" w:cs="Arial"/>
          <w:color w:val="0000FF"/>
        </w:rPr>
        <w:t>[Provide a description of what the proceeds were used to finance].</w:t>
      </w:r>
    </w:p>
    <w:p w14:paraId="5C7A0EB2" w14:textId="77777777" w:rsidR="009D62EA" w:rsidRPr="00F346C5" w:rsidRDefault="009D62EA" w:rsidP="009D62EA">
      <w:pPr>
        <w:spacing w:after="240" w:line="240" w:lineRule="auto"/>
        <w:ind w:left="360"/>
        <w:jc w:val="both"/>
        <w:rPr>
          <w:rFonts w:ascii="Aptos" w:eastAsia="Times New Roman" w:hAnsi="Aptos" w:cs="Arial"/>
          <w:b/>
          <w:i/>
          <w:color w:val="0000FF"/>
        </w:rPr>
      </w:pPr>
      <w:r w:rsidRPr="00F346C5">
        <w:rPr>
          <w:rFonts w:ascii="Aptos" w:eastAsia="Times New Roman" w:hAnsi="Aptos" w:cs="Arial"/>
          <w:b/>
          <w:i/>
          <w:color w:val="0000FF"/>
        </w:rPr>
        <w:t>[See GASB Statement 62 paragraph 36-40]</w:t>
      </w:r>
    </w:p>
    <w:p w14:paraId="5192AA4A" w14:textId="77777777" w:rsidR="009D62EA" w:rsidRPr="00F346C5" w:rsidRDefault="009D62EA" w:rsidP="009D62EA">
      <w:pPr>
        <w:spacing w:after="240" w:line="240" w:lineRule="auto"/>
        <w:ind w:left="360" w:hanging="360"/>
        <w:jc w:val="both"/>
        <w:rPr>
          <w:rFonts w:ascii="Aptos" w:eastAsia="Times New Roman" w:hAnsi="Aptos" w:cs="Arial"/>
          <w:b/>
          <w:i/>
          <w:color w:val="0000FF"/>
        </w:rPr>
      </w:pPr>
      <w:r w:rsidRPr="00F346C5">
        <w:rPr>
          <w:rFonts w:ascii="Aptos" w:eastAsia="Times New Roman" w:hAnsi="Aptos" w:cs="Arial"/>
          <w:b/>
        </w:rPr>
        <w:t>G.</w:t>
      </w:r>
      <w:r w:rsidRPr="00F346C5">
        <w:rPr>
          <w:rFonts w:ascii="Aptos" w:eastAsia="Times New Roman" w:hAnsi="Aptos" w:cs="Arial"/>
          <w:b/>
          <w:i/>
          <w:color w:val="0000FF"/>
        </w:rPr>
        <w:t xml:space="preserve"> </w:t>
      </w:r>
      <w:r w:rsidRPr="00F346C5">
        <w:rPr>
          <w:rFonts w:ascii="Aptos" w:eastAsia="Times New Roman" w:hAnsi="Aptos" w:cs="Arial"/>
          <w:b/>
          <w:i/>
          <w:color w:val="0000FF"/>
        </w:rPr>
        <w:tab/>
      </w:r>
      <w:r w:rsidRPr="00F346C5">
        <w:rPr>
          <w:rFonts w:ascii="Aptos" w:eastAsia="Times New Roman" w:hAnsi="Aptos" w:cs="Arial"/>
          <w:b/>
        </w:rPr>
        <w:t xml:space="preserve">Asset Retirement Obligations </w:t>
      </w:r>
      <w:r w:rsidRPr="00F346C5">
        <w:rPr>
          <w:rFonts w:ascii="Aptos" w:eastAsia="Times New Roman" w:hAnsi="Aptos" w:cs="Arial"/>
        </w:rPr>
        <w:t xml:space="preserve">- </w:t>
      </w:r>
      <w:r w:rsidRPr="00F346C5">
        <w:rPr>
          <w:rFonts w:ascii="Aptos" w:eastAsia="Times New Roman" w:hAnsi="Aptos" w:cs="Arial"/>
          <w:b/>
          <w:i/>
          <w:color w:val="0000FF"/>
        </w:rPr>
        <w:t>[See GASB 83 para. 27-29 for specific disclosure requirements. An example is provided as follows.]</w:t>
      </w:r>
      <w:r w:rsidRPr="00F346C5">
        <w:rPr>
          <w:rFonts w:ascii="Aptos" w:eastAsia="Times New Roman" w:hAnsi="Aptos" w:cs="Arial"/>
        </w:rPr>
        <w:t xml:space="preserve"> The College has recognized asset retirement obligations for </w:t>
      </w:r>
      <w:r w:rsidRPr="00F346C5">
        <w:rPr>
          <w:rFonts w:ascii="Aptos" w:eastAsia="Times New Roman" w:hAnsi="Aptos" w:cs="Arial"/>
          <w:b/>
          <w:color w:val="0000FF"/>
        </w:rPr>
        <w:t>[describe the nature and source of obligation(s). Should include information about the associated capital asset]</w:t>
      </w:r>
      <w:r w:rsidRPr="00F346C5">
        <w:rPr>
          <w:rFonts w:ascii="Aptos" w:eastAsia="Times New Roman" w:hAnsi="Aptos" w:cs="Arial"/>
        </w:rPr>
        <w:t xml:space="preserve">. The amount of the estimated liability is $________. This estimate was calculated </w:t>
      </w:r>
      <w:r w:rsidRPr="00F346C5">
        <w:rPr>
          <w:rFonts w:ascii="Aptos" w:eastAsia="Times New Roman" w:hAnsi="Aptos" w:cs="Arial"/>
          <w:b/>
          <w:color w:val="0000FF"/>
        </w:rPr>
        <w:t>[describe the methods and assumptions used to measure the liability]</w:t>
      </w:r>
      <w:r w:rsidRPr="00F346C5">
        <w:rPr>
          <w:rFonts w:ascii="Aptos" w:eastAsia="Times New Roman" w:hAnsi="Aptos" w:cs="Arial"/>
        </w:rPr>
        <w:t xml:space="preserve">. The estimated remaining useful life for </w:t>
      </w:r>
      <w:r w:rsidRPr="00F346C5">
        <w:rPr>
          <w:rFonts w:ascii="Aptos" w:eastAsia="Times New Roman" w:hAnsi="Aptos" w:cs="Arial"/>
          <w:b/>
          <w:color w:val="0000FF"/>
        </w:rPr>
        <w:t>[associated capital asset]</w:t>
      </w:r>
      <w:r w:rsidRPr="00F346C5">
        <w:rPr>
          <w:rFonts w:ascii="Aptos" w:eastAsia="Times New Roman" w:hAnsi="Aptos" w:cs="Arial"/>
        </w:rPr>
        <w:t xml:space="preserve"> is </w:t>
      </w:r>
      <w:r w:rsidRPr="00F346C5">
        <w:rPr>
          <w:rFonts w:ascii="Aptos" w:eastAsia="Times New Roman" w:hAnsi="Aptos" w:cs="Arial"/>
          <w:b/>
          <w:color w:val="0000FF"/>
        </w:rPr>
        <w:t>XX</w:t>
      </w:r>
      <w:r w:rsidRPr="00F346C5">
        <w:rPr>
          <w:rFonts w:ascii="Aptos" w:eastAsia="Times New Roman" w:hAnsi="Aptos" w:cs="Arial"/>
        </w:rPr>
        <w:t xml:space="preserve"> years. Funding and assurance provisions associated with this obligation are being met through the use of </w:t>
      </w:r>
      <w:r w:rsidRPr="00F346C5">
        <w:rPr>
          <w:rFonts w:ascii="Aptos" w:eastAsia="Times New Roman" w:hAnsi="Aptos" w:cs="Arial"/>
          <w:b/>
          <w:color w:val="0000FF"/>
        </w:rPr>
        <w:t>[surety bonds, insurance policies, letters of credit, etc.]</w:t>
      </w:r>
      <w:r w:rsidRPr="00F346C5">
        <w:rPr>
          <w:rFonts w:ascii="Aptos" w:eastAsia="Times New Roman" w:hAnsi="Aptos" w:cs="Arial"/>
        </w:rPr>
        <w:t xml:space="preserve">. Assets in the amount of $_______ are restricted for the payment of these obligations. </w:t>
      </w:r>
      <w:r w:rsidRPr="00F346C5">
        <w:rPr>
          <w:rFonts w:ascii="Aptos" w:eastAsia="Times New Roman" w:hAnsi="Aptos" w:cs="Arial"/>
          <w:b/>
          <w:i/>
          <w:color w:val="0000FF"/>
        </w:rPr>
        <w:t>[Omit if not applicable. Modify as necessary.]</w:t>
      </w:r>
    </w:p>
    <w:p w14:paraId="029BBABE" w14:textId="77777777" w:rsidR="009D62EA" w:rsidRPr="00F346C5" w:rsidRDefault="009D62EA" w:rsidP="009D62EA">
      <w:pPr>
        <w:spacing w:after="240" w:line="240" w:lineRule="auto"/>
        <w:ind w:left="360"/>
        <w:jc w:val="both"/>
        <w:rPr>
          <w:rFonts w:ascii="Aptos" w:eastAsia="Times New Roman" w:hAnsi="Aptos" w:cs="Arial"/>
          <w:b/>
        </w:rPr>
      </w:pPr>
      <w:r w:rsidRPr="00F346C5">
        <w:rPr>
          <w:rFonts w:ascii="Aptos" w:eastAsia="Times New Roman" w:hAnsi="Aptos" w:cs="Arial"/>
        </w:rPr>
        <w:t xml:space="preserve">The College has an asset retirement obligation that could not yet be recognized because it is not reasonably estimable. This liability </w:t>
      </w:r>
      <w:r w:rsidRPr="00F346C5">
        <w:rPr>
          <w:rFonts w:ascii="Aptos" w:eastAsia="Times New Roman" w:hAnsi="Aptos" w:cs="Arial"/>
          <w:b/>
          <w:color w:val="0000FF"/>
        </w:rPr>
        <w:t>[provide a general description of the nature of the obligation and reasons it is not reasonably estimable]</w:t>
      </w:r>
      <w:r w:rsidRPr="00F346C5">
        <w:rPr>
          <w:rFonts w:ascii="Aptos" w:eastAsia="Times New Roman" w:hAnsi="Aptos" w:cs="Arial"/>
          <w:b/>
        </w:rPr>
        <w:t xml:space="preserve">. </w:t>
      </w:r>
      <w:r w:rsidRPr="00F346C5">
        <w:rPr>
          <w:rFonts w:ascii="Aptos" w:eastAsia="Times New Roman" w:hAnsi="Aptos" w:cs="Arial"/>
          <w:b/>
          <w:i/>
          <w:color w:val="0000FF"/>
        </w:rPr>
        <w:t>[Omit if not applicable. Modify as necessary.]</w:t>
      </w:r>
    </w:p>
    <w:p w14:paraId="2B57C70B" w14:textId="77777777" w:rsidR="009D62EA" w:rsidRPr="00F346C5" w:rsidRDefault="009D62EA" w:rsidP="009D62EA">
      <w:pPr>
        <w:spacing w:after="240" w:line="240" w:lineRule="auto"/>
        <w:ind w:left="360"/>
        <w:jc w:val="both"/>
        <w:rPr>
          <w:rFonts w:ascii="Aptos" w:eastAsia="Times New Roman" w:hAnsi="Aptos" w:cs="Arial"/>
          <w:b/>
          <w:i/>
          <w:color w:val="0000FF"/>
        </w:rPr>
      </w:pPr>
      <w:r w:rsidRPr="00F346C5">
        <w:rPr>
          <w:rFonts w:ascii="Aptos" w:eastAsia="Times New Roman" w:hAnsi="Aptos" w:cs="Arial"/>
        </w:rPr>
        <w:t xml:space="preserve">The College has a minority share of an asset retirement obligation related to </w:t>
      </w:r>
      <w:r w:rsidRPr="00F346C5">
        <w:rPr>
          <w:rFonts w:ascii="Aptos" w:eastAsia="Times New Roman" w:hAnsi="Aptos" w:cs="Arial"/>
          <w:b/>
          <w:color w:val="0000FF"/>
        </w:rPr>
        <w:t>[disclose asset and joint agreement. See GASB 83, paragraph 29 for required elements]</w:t>
      </w:r>
      <w:r w:rsidRPr="00F346C5">
        <w:rPr>
          <w:rFonts w:ascii="Aptos" w:eastAsia="Times New Roman" w:hAnsi="Aptos" w:cs="Arial"/>
        </w:rPr>
        <w:t xml:space="preserve">. </w:t>
      </w:r>
      <w:r w:rsidRPr="00F346C5">
        <w:rPr>
          <w:rFonts w:ascii="Aptos" w:eastAsia="Times New Roman" w:hAnsi="Aptos" w:cs="Arial"/>
          <w:b/>
          <w:i/>
          <w:color w:val="0000FF"/>
        </w:rPr>
        <w:t>[Omit if not applicable. Modify as necessary.]</w:t>
      </w:r>
    </w:p>
    <w:p w14:paraId="7A69784D" w14:textId="41DC538A" w:rsidR="002B5EE6" w:rsidRPr="00F346C5" w:rsidRDefault="002B5EE6"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r w:rsidRPr="00F346C5">
        <w:rPr>
          <w:rFonts w:ascii="Aptos" w:eastAsia="Times New Roman" w:hAnsi="Aptos" w:cs="Times New Roman"/>
          <w:b/>
          <w:kern w:val="28"/>
        </w:rPr>
        <w:t>Note 10</w:t>
      </w:r>
      <w:r w:rsidRPr="00F346C5">
        <w:rPr>
          <w:rFonts w:ascii="Aptos" w:eastAsia="Times New Roman" w:hAnsi="Aptos" w:cs="Times New Roman"/>
          <w:b/>
          <w:kern w:val="28"/>
        </w:rPr>
        <w:tab/>
        <w:t>-</w:t>
      </w:r>
      <w:r w:rsidRPr="00F346C5">
        <w:rPr>
          <w:rFonts w:ascii="Aptos" w:eastAsia="Times New Roman" w:hAnsi="Aptos" w:cs="Times New Roman"/>
          <w:b/>
          <w:kern w:val="28"/>
        </w:rPr>
        <w:tab/>
        <w:t>Leases and Subscription-Based Information Technology Arrangements</w:t>
      </w:r>
    </w:p>
    <w:p w14:paraId="3B391A9C" w14:textId="0C390C9D" w:rsidR="002B5EE6" w:rsidRPr="00F346C5" w:rsidRDefault="002B5EE6" w:rsidP="002B5EE6">
      <w:pPr>
        <w:numPr>
          <w:ilvl w:val="0"/>
          <w:numId w:val="36"/>
        </w:numPr>
        <w:tabs>
          <w:tab w:val="left" w:pos="1560"/>
        </w:tabs>
        <w:spacing w:after="240" w:line="240" w:lineRule="auto"/>
        <w:ind w:left="360"/>
        <w:jc w:val="both"/>
        <w:rPr>
          <w:rFonts w:ascii="Aptos" w:eastAsia="Times New Roman" w:hAnsi="Aptos" w:cs="Arial"/>
        </w:rPr>
      </w:pPr>
      <w:r w:rsidRPr="00F346C5">
        <w:rPr>
          <w:rFonts w:ascii="Aptos" w:eastAsia="Times New Roman" w:hAnsi="Aptos" w:cs="Arial"/>
          <w:b/>
        </w:rPr>
        <w:t>Lessor</w:t>
      </w:r>
      <w:r w:rsidRPr="00F346C5">
        <w:rPr>
          <w:rFonts w:ascii="Aptos" w:eastAsia="Times New Roman" w:hAnsi="Aptos" w:cs="Arial"/>
          <w:b/>
          <w:bCs/>
        </w:rPr>
        <w:t xml:space="preserve"> Arrangements</w:t>
      </w:r>
      <w:r w:rsidRPr="00F346C5">
        <w:rPr>
          <w:rFonts w:ascii="Aptos" w:eastAsia="Times New Roman" w:hAnsi="Aptos" w:cs="Arial"/>
        </w:rPr>
        <w:t xml:space="preserve"> - The College leases </w:t>
      </w:r>
      <w:r w:rsidRPr="00F346C5">
        <w:rPr>
          <w:rFonts w:ascii="Aptos" w:eastAsia="Times New Roman" w:hAnsi="Aptos" w:cs="Arial"/>
          <w:b/>
          <w:bCs/>
          <w:color w:val="0000FF"/>
        </w:rPr>
        <w:t>[office space and equipment to both external and related parties]</w:t>
      </w:r>
      <w:r w:rsidRPr="00F346C5">
        <w:rPr>
          <w:rFonts w:ascii="Aptos" w:eastAsia="Times New Roman" w:hAnsi="Aptos" w:cs="Arial"/>
        </w:rPr>
        <w:t>. The leases expire at various dates, and some have renewal options. Lease receivables and related deferred inflows of resources are recorded based on the present value of expected receipts over the term of the respective leases. The expected receipts are discounted using the interest rate stated per the lease contract, or the College’s estimated incremental borrowing rate if there is no stated contractual interest rate.</w:t>
      </w:r>
    </w:p>
    <w:p w14:paraId="18BE973C" w14:textId="476A46A7" w:rsidR="002B5EE6" w:rsidRPr="00F346C5" w:rsidRDefault="002B5EE6" w:rsidP="002B5EE6">
      <w:pPr>
        <w:tabs>
          <w:tab w:val="left" w:pos="1560"/>
        </w:tabs>
        <w:spacing w:after="240" w:line="240" w:lineRule="auto"/>
        <w:ind w:left="360"/>
        <w:jc w:val="both"/>
        <w:rPr>
          <w:rFonts w:ascii="Aptos" w:eastAsia="Times New Roman" w:hAnsi="Aptos" w:cs="Arial"/>
        </w:rPr>
      </w:pPr>
      <w:r w:rsidRPr="00F346C5">
        <w:rPr>
          <w:rFonts w:ascii="Aptos" w:eastAsia="Times New Roman" w:hAnsi="Aptos" w:cs="Arial"/>
          <w:b/>
          <w:i/>
          <w:color w:val="0000FF"/>
        </w:rPr>
        <w:t xml:space="preserve">[Note to preparer: See GASB Statement No. 87, paragraph 37 and 57 for disclosure requirements. An example is provided as follows:] </w:t>
      </w:r>
      <w:r w:rsidRPr="00F346C5">
        <w:rPr>
          <w:rFonts w:ascii="Aptos" w:eastAsia="Times New Roman" w:hAnsi="Aptos" w:cs="Arial"/>
        </w:rPr>
        <w:t>Measurement of the lease receivable excluded the following variable payment amounts: the increase or decrease in payments after the initial measurement of the lease receivable that depend on changes in an index or rate (such as the Consumer Price Index)</w:t>
      </w:r>
      <w:r w:rsidRPr="00F346C5">
        <w:rPr>
          <w:rFonts w:ascii="Aptos" w:eastAsia="Times New Roman" w:hAnsi="Aptos" w:cs="Arial"/>
          <w:color w:val="000000" w:themeColor="text1"/>
        </w:rPr>
        <w:t>.</w:t>
      </w:r>
      <w:r w:rsidRPr="00F346C5">
        <w:rPr>
          <w:rFonts w:ascii="Aptos" w:eastAsia="Times New Roman" w:hAnsi="Aptos" w:cs="Arial"/>
        </w:rPr>
        <w:t xml:space="preserve"> </w:t>
      </w:r>
      <w:r w:rsidRPr="00F346C5">
        <w:rPr>
          <w:rFonts w:ascii="Aptos" w:eastAsia="Times New Roman" w:hAnsi="Aptos" w:cs="Arial"/>
          <w:color w:val="0000FF"/>
        </w:rPr>
        <w:t xml:space="preserve">[The College recognized revenues of $_____ during the fiscal year for these changes in variable payments not previously included in the measurement of the lease receivable. The College also recognized revenues of $_____ for residual value guarantees and $_____ for termination payments not previously included in the measurement of the lease receivable.] </w:t>
      </w:r>
      <w:r w:rsidRPr="00F346C5">
        <w:rPr>
          <w:rFonts w:ascii="Aptos" w:eastAsia="Times New Roman" w:hAnsi="Aptos" w:cs="Arial"/>
          <w:b/>
          <w:bCs/>
          <w:color w:val="0000FF"/>
          <w:u w:val="single"/>
        </w:rPr>
        <w:t>or</w:t>
      </w:r>
      <w:r w:rsidRPr="00F346C5">
        <w:rPr>
          <w:rFonts w:ascii="Aptos" w:eastAsia="Times New Roman" w:hAnsi="Aptos" w:cs="Arial"/>
          <w:color w:val="0000FF"/>
        </w:rPr>
        <w:t xml:space="preserve"> [During the year the College did not recognize any variable payment amounts.]</w:t>
      </w:r>
    </w:p>
    <w:p w14:paraId="62BC93FD" w14:textId="7CA178AF" w:rsidR="002B5EE6" w:rsidRPr="00F346C5" w:rsidRDefault="002B5EE6" w:rsidP="002B5EE6">
      <w:pPr>
        <w:tabs>
          <w:tab w:val="left" w:pos="1560"/>
        </w:tabs>
        <w:spacing w:after="240" w:line="240" w:lineRule="auto"/>
        <w:ind w:left="360"/>
        <w:jc w:val="both"/>
        <w:rPr>
          <w:rFonts w:ascii="Aptos" w:eastAsia="Times New Roman" w:hAnsi="Aptos" w:cs="Arial"/>
          <w:b/>
          <w:i/>
          <w:color w:val="0000FF"/>
        </w:rPr>
      </w:pPr>
      <w:r w:rsidRPr="00F346C5">
        <w:rPr>
          <w:rFonts w:ascii="Aptos" w:eastAsia="Times New Roman" w:hAnsi="Aptos" w:cs="Arial"/>
          <w:b/>
          <w:i/>
          <w:color w:val="0000FF"/>
        </w:rPr>
        <w:t>[Note to preparer:</w:t>
      </w:r>
      <w:r w:rsidRPr="00F346C5">
        <w:rPr>
          <w:rFonts w:ascii="Aptos" w:eastAsia="Times New Roman" w:hAnsi="Aptos" w:cs="Arial"/>
        </w:rPr>
        <w:t xml:space="preserve"> </w:t>
      </w:r>
      <w:r w:rsidRPr="00F346C5">
        <w:rPr>
          <w:rFonts w:ascii="Aptos" w:eastAsia="Times New Roman" w:hAnsi="Aptos" w:cs="Arial"/>
          <w:b/>
          <w:i/>
          <w:color w:val="0000FF"/>
        </w:rPr>
        <w:t xml:space="preserve">Additional disclosures are required if the College, as lessor, has issued debt for which the principal and interest payments are secured by the lease </w:t>
      </w:r>
      <w:r w:rsidRPr="00F346C5">
        <w:rPr>
          <w:rFonts w:ascii="Aptos" w:eastAsia="Times New Roman" w:hAnsi="Aptos" w:cs="Arial"/>
          <w:b/>
          <w:i/>
          <w:color w:val="0000FF"/>
        </w:rPr>
        <w:lastRenderedPageBreak/>
        <w:t>payments and the lessee has options to terminate the lease or abate payments. See GASB 87 paragraph 57d.]</w:t>
      </w:r>
    </w:p>
    <w:p w14:paraId="77863DC7" w14:textId="77777777" w:rsidR="002B5EE6" w:rsidRPr="00F346C5" w:rsidRDefault="002B5EE6" w:rsidP="002B5EE6">
      <w:pPr>
        <w:tabs>
          <w:tab w:val="left" w:pos="1560"/>
        </w:tabs>
        <w:spacing w:after="240" w:line="240" w:lineRule="auto"/>
        <w:ind w:left="360"/>
        <w:jc w:val="both"/>
        <w:rPr>
          <w:rFonts w:ascii="Aptos" w:eastAsia="Times New Roman" w:hAnsi="Aptos" w:cs="Arial"/>
        </w:rPr>
      </w:pPr>
      <w:r w:rsidRPr="00F346C5">
        <w:rPr>
          <w:rFonts w:ascii="Aptos" w:eastAsia="Times New Roman" w:hAnsi="Aptos" w:cs="Arial"/>
          <w:b/>
          <w:i/>
          <w:color w:val="0000FF"/>
        </w:rPr>
        <w:t>[Note to preparer: Additional disclosures may be required for lease of investment assets, certain regulated leases, sublease transaction, sale-lease back transactions, and lease-leaseback transactions. See GASB 87 paragraphs 58-60.]</w:t>
      </w:r>
    </w:p>
    <w:p w14:paraId="73FCF892" w14:textId="725F6A6F" w:rsidR="002B5EE6" w:rsidRPr="00F346C5" w:rsidRDefault="002B5EE6" w:rsidP="002B5EE6">
      <w:pPr>
        <w:tabs>
          <w:tab w:val="left" w:pos="1560"/>
        </w:tabs>
        <w:spacing w:after="240" w:line="240" w:lineRule="auto"/>
        <w:ind w:left="360"/>
        <w:jc w:val="both"/>
        <w:rPr>
          <w:rFonts w:ascii="Aptos" w:eastAsia="Times New Roman" w:hAnsi="Aptos" w:cs="Arial"/>
        </w:rPr>
      </w:pPr>
      <w:r w:rsidRPr="00F346C5">
        <w:rPr>
          <w:rFonts w:ascii="Aptos" w:eastAsia="Times New Roman" w:hAnsi="Aptos" w:cs="Arial"/>
        </w:rPr>
        <w:t xml:space="preserve">During the year ended </w:t>
      </w:r>
      <w:r w:rsidR="00D001EB" w:rsidRPr="00F346C5">
        <w:rPr>
          <w:rFonts w:ascii="Aptos" w:eastAsia="Times New Roman" w:hAnsi="Aptos" w:cs="Arial"/>
        </w:rPr>
        <w:t xml:space="preserve">June 30, </w:t>
      </w:r>
      <w:r w:rsidR="007C3822" w:rsidRPr="0019002A">
        <w:rPr>
          <w:rFonts w:ascii="Aptos" w:eastAsia="Times New Roman" w:hAnsi="Aptos" w:cs="Arial"/>
        </w:rPr>
        <w:t>2026</w:t>
      </w:r>
      <w:r w:rsidRPr="00F346C5">
        <w:rPr>
          <w:rFonts w:ascii="Aptos" w:eastAsia="Times New Roman" w:hAnsi="Aptos" w:cs="Arial"/>
        </w:rPr>
        <w:t>, the College recognized operating revenues related to lessor arrangements totaling $</w:t>
      </w:r>
      <w:r w:rsidRPr="00F346C5">
        <w:rPr>
          <w:rFonts w:ascii="Aptos" w:eastAsia="Times New Roman" w:hAnsi="Aptos" w:cs="Arial"/>
          <w:b/>
          <w:bCs/>
          <w:color w:val="0000FF"/>
        </w:rPr>
        <w:t>XX,XXX</w:t>
      </w:r>
      <w:r w:rsidRPr="00F346C5">
        <w:rPr>
          <w:rFonts w:ascii="Aptos" w:eastAsia="Times New Roman" w:hAnsi="Aptos" w:cs="Arial"/>
        </w:rPr>
        <w:t>, and nonoperating lease interest income totaling $</w:t>
      </w:r>
      <w:r w:rsidRPr="00F346C5">
        <w:rPr>
          <w:rFonts w:ascii="Aptos" w:eastAsia="Times New Roman" w:hAnsi="Aptos" w:cs="Arial"/>
          <w:b/>
          <w:bCs/>
          <w:color w:val="0000FF"/>
        </w:rPr>
        <w:t>XX,XXX</w:t>
      </w:r>
      <w:r w:rsidRPr="00F346C5">
        <w:rPr>
          <w:rFonts w:ascii="Aptos" w:eastAsia="Times New Roman" w:hAnsi="Aptos" w:cs="Arial"/>
        </w:rPr>
        <w:t xml:space="preserve">. </w:t>
      </w:r>
    </w:p>
    <w:p w14:paraId="4AD8EDDA" w14:textId="51832127" w:rsidR="002B5EE6" w:rsidRPr="00F346C5" w:rsidRDefault="002B5EE6" w:rsidP="002B5EE6">
      <w:pPr>
        <w:spacing w:after="240" w:line="240" w:lineRule="auto"/>
        <w:ind w:left="360"/>
        <w:jc w:val="both"/>
        <w:rPr>
          <w:rFonts w:ascii="Aptos" w:eastAsia="Calibri" w:hAnsi="Aptos" w:cs="Arial"/>
        </w:rPr>
      </w:pPr>
      <w:r w:rsidRPr="00F346C5">
        <w:rPr>
          <w:rFonts w:ascii="Aptos" w:eastAsia="Calibri" w:hAnsi="Aptos" w:cs="Arial"/>
        </w:rPr>
        <w:t xml:space="preserve">The College’s lessor arrangements at </w:t>
      </w:r>
      <w:r w:rsidR="00D001EB" w:rsidRPr="00F346C5">
        <w:rPr>
          <w:rFonts w:ascii="Aptos" w:eastAsia="Calibri" w:hAnsi="Aptos" w:cs="Arial"/>
        </w:rPr>
        <w:t xml:space="preserve">June 30, </w:t>
      </w:r>
      <w:r w:rsidR="007C3822" w:rsidRPr="0019002A">
        <w:rPr>
          <w:rFonts w:ascii="Aptos" w:eastAsia="Calibri" w:hAnsi="Aptos" w:cs="Arial"/>
        </w:rPr>
        <w:t>2026</w:t>
      </w:r>
      <w:r w:rsidRPr="00F346C5">
        <w:rPr>
          <w:rFonts w:ascii="Aptos" w:eastAsia="Calibri" w:hAnsi="Aptos" w:cs="Arial"/>
        </w:rPr>
        <w:t>, are summarized below (excluding short-term leases):</w:t>
      </w:r>
    </w:p>
    <w:bookmarkStart w:id="275" w:name="_Hlk199504778"/>
    <w:bookmarkStart w:id="276" w:name="_MON_1779769954"/>
    <w:bookmarkEnd w:id="276"/>
    <w:p w14:paraId="7F29A4ED" w14:textId="444F7856" w:rsidR="002B5EE6" w:rsidRPr="00F346C5" w:rsidRDefault="00577556" w:rsidP="002B5EE6">
      <w:pPr>
        <w:spacing w:after="240" w:line="240" w:lineRule="auto"/>
        <w:ind w:left="360"/>
        <w:rPr>
          <w:rFonts w:ascii="Aptos" w:eastAsia="Calibri" w:hAnsi="Aptos" w:cs="Times New Roman"/>
        </w:rPr>
      </w:pPr>
      <w:r w:rsidRPr="00F346C5">
        <w:rPr>
          <w:rFonts w:ascii="Aptos" w:eastAsia="Calibri" w:hAnsi="Aptos" w:cs="Times New Roman"/>
        </w:rPr>
        <w:object w:dxaOrig="11779" w:dyaOrig="3623" w14:anchorId="22328CFD">
          <v:shape id="_x0000_i1040" type="#_x0000_t75" style="width:471pt;height:147pt" o:ole="">
            <v:imagedata r:id="rId55" o:title=""/>
          </v:shape>
          <o:OLEObject Type="Embed" ProgID="Excel.Sheet.12" ShapeID="_x0000_i1040" DrawAspect="Content" ObjectID="_1843297343" r:id="rId56"/>
        </w:object>
      </w:r>
      <w:bookmarkEnd w:id="275"/>
    </w:p>
    <w:p w14:paraId="7BA9050A" w14:textId="1643BB92" w:rsidR="002B5EE6" w:rsidRPr="00F346C5" w:rsidRDefault="002B5EE6" w:rsidP="002B5EE6">
      <w:pPr>
        <w:numPr>
          <w:ilvl w:val="0"/>
          <w:numId w:val="36"/>
        </w:numPr>
        <w:spacing w:after="240" w:line="240" w:lineRule="auto"/>
        <w:ind w:left="360"/>
        <w:jc w:val="both"/>
        <w:rPr>
          <w:rFonts w:ascii="Aptos" w:eastAsia="Times New Roman" w:hAnsi="Aptos" w:cs="Arial"/>
        </w:rPr>
      </w:pPr>
      <w:r w:rsidRPr="00F346C5">
        <w:rPr>
          <w:rFonts w:ascii="Aptos" w:eastAsia="Times New Roman" w:hAnsi="Aptos" w:cs="Arial"/>
          <w:b/>
        </w:rPr>
        <w:t>Lessee</w:t>
      </w:r>
      <w:r w:rsidRPr="00F346C5">
        <w:rPr>
          <w:rFonts w:ascii="Aptos" w:eastAsia="Times New Roman" w:hAnsi="Aptos" w:cs="Arial"/>
          <w:b/>
          <w:bCs/>
        </w:rPr>
        <w:t xml:space="preserve"> Arrangements</w:t>
      </w:r>
      <w:r w:rsidRPr="00F346C5">
        <w:rPr>
          <w:rFonts w:ascii="Aptos" w:eastAsia="Times New Roman" w:hAnsi="Aptos" w:cs="Arial"/>
        </w:rPr>
        <w:t xml:space="preserve"> - The </w:t>
      </w:r>
      <w:r w:rsidR="00D35E80" w:rsidRPr="00F346C5">
        <w:rPr>
          <w:rFonts w:ascii="Aptos" w:eastAsia="Times New Roman" w:hAnsi="Aptos" w:cs="Arial"/>
        </w:rPr>
        <w:t>College</w:t>
      </w:r>
      <w:r w:rsidRPr="00F346C5">
        <w:rPr>
          <w:rFonts w:ascii="Aptos" w:eastAsia="Times New Roman" w:hAnsi="Aptos" w:cs="Arial"/>
        </w:rPr>
        <w:t xml:space="preserve"> has lease agreements </w:t>
      </w:r>
      <w:r w:rsidRPr="00F346C5">
        <w:rPr>
          <w:rFonts w:ascii="Aptos" w:eastAsia="Times New Roman" w:hAnsi="Aptos" w:cs="Arial"/>
          <w:b/>
          <w:bCs/>
          <w:color w:val="0000FF"/>
        </w:rPr>
        <w:t>[for the right to use office space and equipment from both external and related parties]</w:t>
      </w:r>
      <w:r w:rsidRPr="00F346C5">
        <w:rPr>
          <w:rFonts w:ascii="Aptos" w:eastAsia="Times New Roman" w:hAnsi="Aptos" w:cs="Arial"/>
        </w:rPr>
        <w:t xml:space="preserve">. The leases expire at various dates, and some have renewal options. Lease liabilities and right-to-use leased assets </w:t>
      </w:r>
      <w:r w:rsidR="00C85586" w:rsidRPr="00F346C5">
        <w:rPr>
          <w:rFonts w:ascii="Aptos" w:eastAsia="Times New Roman" w:hAnsi="Aptos" w:cs="Arial"/>
        </w:rPr>
        <w:t>are recorded at the present value of payments expected to be made during the lease term, plus any upfront payments and ancillary charges paid to place the underlying right-to-use asset into service</w:t>
      </w:r>
      <w:r w:rsidRPr="00F346C5">
        <w:rPr>
          <w:rFonts w:ascii="Aptos" w:eastAsia="Times New Roman" w:hAnsi="Aptos" w:cs="Arial"/>
        </w:rPr>
        <w:t xml:space="preserve">. </w:t>
      </w:r>
      <w:r w:rsidRPr="00F346C5">
        <w:rPr>
          <w:rFonts w:ascii="Aptos" w:eastAsia="Calibri" w:hAnsi="Aptos" w:cs="Arial"/>
        </w:rPr>
        <w:t xml:space="preserve">The expected payments are discounted using the interest rate stated per the lease contract, or the </w:t>
      </w:r>
      <w:r w:rsidR="00D35E80" w:rsidRPr="00F346C5">
        <w:rPr>
          <w:rFonts w:ascii="Aptos" w:eastAsia="Calibri" w:hAnsi="Aptos" w:cs="Arial"/>
        </w:rPr>
        <w:t>College</w:t>
      </w:r>
      <w:r w:rsidRPr="00F346C5">
        <w:rPr>
          <w:rFonts w:ascii="Aptos" w:eastAsia="Calibri" w:hAnsi="Aptos" w:cs="Arial"/>
        </w:rPr>
        <w:t>’s estimated incremental borrowing rate if there is no stated contractual interest rate.</w:t>
      </w:r>
    </w:p>
    <w:p w14:paraId="1E335509" w14:textId="1ABD9E94" w:rsidR="002B5EE6" w:rsidRPr="00F346C5" w:rsidRDefault="002B5EE6" w:rsidP="002B5EE6">
      <w:pPr>
        <w:spacing w:after="240" w:line="240" w:lineRule="auto"/>
        <w:ind w:left="360"/>
        <w:jc w:val="both"/>
        <w:rPr>
          <w:rFonts w:ascii="Aptos" w:eastAsia="Times New Roman" w:hAnsi="Aptos" w:cs="Arial"/>
          <w:b/>
        </w:rPr>
      </w:pPr>
      <w:r w:rsidRPr="00F346C5">
        <w:rPr>
          <w:rFonts w:ascii="Aptos" w:eastAsia="Times New Roman" w:hAnsi="Aptos" w:cs="Arial"/>
          <w:b/>
          <w:i/>
          <w:color w:val="0000FF"/>
        </w:rPr>
        <w:t>[Note to preparer: See GASB Statement No. 87, paragraph 37 and 57 for disclosure requirements. An example is provided as follows:]</w:t>
      </w:r>
      <w:r w:rsidRPr="00F346C5">
        <w:rPr>
          <w:rFonts w:ascii="Aptos" w:eastAsia="Times New Roman" w:hAnsi="Aptos" w:cs="Arial"/>
          <w:color w:val="0000FF"/>
        </w:rPr>
        <w:t xml:space="preserve"> </w:t>
      </w:r>
      <w:r w:rsidRPr="00F346C5">
        <w:rPr>
          <w:rFonts w:ascii="Aptos" w:eastAsia="Times New Roman" w:hAnsi="Aptos" w:cs="Arial"/>
        </w:rPr>
        <w:t xml:space="preserve">Measurement of the lease liability excluded the following variable payment amounts: 1) the increase or decrease in payments after the initial measurement of the lease liability that depend on changes in an index or rate (such as the Consumer Price Index) and 2) payments based on future performance or usage of the underlying assets. </w:t>
      </w:r>
      <w:r w:rsidRPr="00F346C5">
        <w:rPr>
          <w:rFonts w:ascii="Aptos" w:eastAsia="Times New Roman" w:hAnsi="Aptos" w:cs="Arial"/>
          <w:color w:val="0000FF"/>
        </w:rPr>
        <w:t xml:space="preserve">[During the fiscal year, the </w:t>
      </w:r>
      <w:r w:rsidR="00D35E80" w:rsidRPr="00F346C5">
        <w:rPr>
          <w:rFonts w:ascii="Aptos" w:eastAsia="Times New Roman" w:hAnsi="Aptos" w:cs="Arial"/>
          <w:color w:val="0000FF"/>
        </w:rPr>
        <w:t>College</w:t>
      </w:r>
      <w:r w:rsidRPr="00F346C5">
        <w:rPr>
          <w:rFonts w:ascii="Aptos" w:eastAsia="Times New Roman" w:hAnsi="Aptos" w:cs="Arial"/>
          <w:color w:val="0000FF"/>
        </w:rPr>
        <w:t xml:space="preserve"> recognized expenses of $______ for these changes in variable payments not previously included in the measurement of the lease liability. The </w:t>
      </w:r>
      <w:r w:rsidR="00D35E80" w:rsidRPr="00F346C5">
        <w:rPr>
          <w:rFonts w:ascii="Aptos" w:eastAsia="Times New Roman" w:hAnsi="Aptos" w:cs="Arial"/>
          <w:color w:val="0000FF"/>
        </w:rPr>
        <w:t>College</w:t>
      </w:r>
      <w:r w:rsidRPr="00F346C5">
        <w:rPr>
          <w:rFonts w:ascii="Aptos" w:eastAsia="Times New Roman" w:hAnsi="Aptos" w:cs="Arial"/>
          <w:color w:val="0000FF"/>
        </w:rPr>
        <w:t xml:space="preserve"> also recognized expenses of $_____ for residual value guarantees and $_____ for termination payments not previously included in the measurement of the lease liability.] </w:t>
      </w:r>
      <w:r w:rsidRPr="00F346C5">
        <w:rPr>
          <w:rFonts w:ascii="Aptos" w:eastAsia="Times New Roman" w:hAnsi="Aptos" w:cs="Arial"/>
          <w:b/>
          <w:bCs/>
          <w:color w:val="0000FF"/>
          <w:u w:val="single"/>
        </w:rPr>
        <w:t>or</w:t>
      </w:r>
      <w:r w:rsidRPr="00F346C5">
        <w:rPr>
          <w:rFonts w:ascii="Aptos" w:eastAsia="Times New Roman" w:hAnsi="Aptos" w:cs="Arial"/>
          <w:color w:val="0000FF"/>
        </w:rPr>
        <w:t xml:space="preserve"> [During the year the </w:t>
      </w:r>
      <w:r w:rsidR="00D35E80" w:rsidRPr="00F346C5">
        <w:rPr>
          <w:rFonts w:ascii="Aptos" w:eastAsia="Times New Roman" w:hAnsi="Aptos" w:cs="Arial"/>
          <w:color w:val="0000FF"/>
        </w:rPr>
        <w:t>College</w:t>
      </w:r>
      <w:r w:rsidRPr="00F346C5">
        <w:rPr>
          <w:rFonts w:ascii="Aptos" w:eastAsia="Times New Roman" w:hAnsi="Aptos" w:cs="Arial"/>
          <w:color w:val="0000FF"/>
        </w:rPr>
        <w:t xml:space="preserve"> did not recognize any variable payment amounts.] </w:t>
      </w:r>
    </w:p>
    <w:p w14:paraId="3251EC3F" w14:textId="2B36F852" w:rsidR="002B5EE6" w:rsidRPr="00F346C5" w:rsidRDefault="002B5EE6" w:rsidP="002B5EE6">
      <w:pPr>
        <w:spacing w:after="240" w:line="240" w:lineRule="auto"/>
        <w:ind w:left="360"/>
        <w:jc w:val="both"/>
        <w:rPr>
          <w:rFonts w:ascii="Aptos" w:eastAsia="Times New Roman" w:hAnsi="Aptos" w:cs="Arial"/>
        </w:rPr>
      </w:pPr>
      <w:r w:rsidRPr="00F346C5">
        <w:rPr>
          <w:rFonts w:ascii="Aptos" w:eastAsia="Times New Roman" w:hAnsi="Aptos" w:cs="Arial"/>
        </w:rPr>
        <w:t xml:space="preserve">The </w:t>
      </w:r>
      <w:r w:rsidR="00D35E80" w:rsidRPr="00F346C5">
        <w:rPr>
          <w:rFonts w:ascii="Aptos" w:eastAsia="Times New Roman" w:hAnsi="Aptos" w:cs="Arial"/>
        </w:rPr>
        <w:t>College</w:t>
      </w:r>
      <w:r w:rsidRPr="00F346C5">
        <w:rPr>
          <w:rFonts w:ascii="Aptos" w:eastAsia="Times New Roman" w:hAnsi="Aptos" w:cs="Arial"/>
        </w:rPr>
        <w:t xml:space="preserve"> had commitments under leases before the lease term as follows: a </w:t>
      </w:r>
      <w:r w:rsidRPr="00F346C5">
        <w:rPr>
          <w:rFonts w:ascii="Aptos" w:eastAsia="Times New Roman" w:hAnsi="Aptos" w:cs="Arial"/>
          <w:b/>
          <w:bCs/>
          <w:color w:val="0000FF"/>
        </w:rPr>
        <w:t>xxxx</w:t>
      </w:r>
      <w:r w:rsidRPr="00F346C5">
        <w:rPr>
          <w:rFonts w:ascii="Aptos" w:eastAsia="Times New Roman" w:hAnsi="Aptos" w:cs="Arial"/>
        </w:rPr>
        <w:t>-year lease agreement for the right-to-use _____ (</w:t>
      </w:r>
      <w:r w:rsidRPr="00F346C5">
        <w:rPr>
          <w:rFonts w:ascii="Aptos" w:eastAsia="Times New Roman" w:hAnsi="Aptos" w:cs="Arial"/>
          <w:b/>
          <w:bCs/>
          <w:color w:val="0000FF"/>
        </w:rPr>
        <w:t>describe leased asset</w:t>
      </w:r>
      <w:r w:rsidRPr="00F346C5">
        <w:rPr>
          <w:rFonts w:ascii="Aptos" w:eastAsia="Times New Roman" w:hAnsi="Aptos" w:cs="Arial"/>
        </w:rPr>
        <w:t>) beginning ____ (</w:t>
      </w:r>
      <w:r w:rsidRPr="00F346C5">
        <w:rPr>
          <w:rFonts w:ascii="Aptos" w:eastAsia="Times New Roman" w:hAnsi="Aptos" w:cs="Arial"/>
          <w:b/>
          <w:bCs/>
          <w:color w:val="0000FF"/>
        </w:rPr>
        <w:t>insert commencement date</w:t>
      </w:r>
      <w:r w:rsidRPr="00F346C5">
        <w:rPr>
          <w:rFonts w:ascii="Aptos" w:eastAsia="Times New Roman" w:hAnsi="Aptos" w:cs="Arial"/>
        </w:rPr>
        <w:t xml:space="preserve">) with total payments over the period of $_____. </w:t>
      </w:r>
      <w:r w:rsidRPr="00F346C5">
        <w:rPr>
          <w:rFonts w:ascii="Aptos" w:eastAsia="Times New Roman" w:hAnsi="Aptos" w:cs="Arial"/>
          <w:color w:val="0000FF"/>
        </w:rPr>
        <w:t>[</w:t>
      </w:r>
      <w:r w:rsidRPr="00F346C5">
        <w:rPr>
          <w:rFonts w:ascii="Aptos" w:eastAsia="Times New Roman" w:hAnsi="Aptos" w:cs="Arial"/>
          <w:b/>
          <w:bCs/>
          <w:i/>
          <w:iCs/>
          <w:color w:val="0000FF"/>
        </w:rPr>
        <w:t>remove if none</w:t>
      </w:r>
      <w:r w:rsidRPr="00F346C5">
        <w:rPr>
          <w:rFonts w:ascii="Aptos" w:eastAsia="Times New Roman" w:hAnsi="Aptos" w:cs="Arial"/>
          <w:color w:val="0000FF"/>
        </w:rPr>
        <w:t>]</w:t>
      </w:r>
    </w:p>
    <w:p w14:paraId="0BE10CA6" w14:textId="77777777" w:rsidR="002B5EE6" w:rsidRPr="00F346C5" w:rsidRDefault="002B5EE6" w:rsidP="002B5EE6">
      <w:pPr>
        <w:tabs>
          <w:tab w:val="left" w:pos="1560"/>
        </w:tabs>
        <w:spacing w:after="240" w:line="240" w:lineRule="auto"/>
        <w:ind w:left="360"/>
        <w:jc w:val="both"/>
        <w:rPr>
          <w:rFonts w:ascii="Aptos" w:eastAsia="Times New Roman" w:hAnsi="Aptos" w:cs="Arial"/>
          <w:b/>
          <w:i/>
          <w:color w:val="0000FF"/>
        </w:rPr>
      </w:pPr>
      <w:r w:rsidRPr="00F346C5">
        <w:rPr>
          <w:rFonts w:ascii="Aptos" w:eastAsia="Times New Roman" w:hAnsi="Aptos" w:cs="Arial"/>
          <w:b/>
          <w:i/>
          <w:color w:val="0000FF"/>
        </w:rPr>
        <w:lastRenderedPageBreak/>
        <w:t>[Note to preparer: If a leased asset is impaired (described in paragraph 9 of Statement 42) additional disclosures are required. See GASB 87 paragraph 34 and 37h for additional information.]</w:t>
      </w:r>
    </w:p>
    <w:p w14:paraId="53AEF506" w14:textId="13B44300" w:rsidR="002B5EE6" w:rsidRPr="00F346C5" w:rsidRDefault="002B5EE6" w:rsidP="002B5EE6">
      <w:pPr>
        <w:tabs>
          <w:tab w:val="left" w:pos="1560"/>
        </w:tabs>
        <w:spacing w:after="240" w:line="240" w:lineRule="auto"/>
        <w:ind w:left="360"/>
        <w:jc w:val="both"/>
        <w:rPr>
          <w:rFonts w:ascii="Aptos" w:eastAsia="Times New Roman" w:hAnsi="Aptos" w:cs="Arial"/>
          <w:b/>
          <w:i/>
          <w:color w:val="0000FF"/>
        </w:rPr>
      </w:pPr>
      <w:r w:rsidRPr="00F346C5">
        <w:rPr>
          <w:rFonts w:ascii="Aptos" w:eastAsia="Times New Roman" w:hAnsi="Aptos" w:cs="Arial"/>
          <w:b/>
          <w:i/>
          <w:color w:val="0000FF"/>
        </w:rPr>
        <w:t>[Note to preparer: The amount of collateral pledged as security for a lease should be disclosed unless that collateral is solely the asset underlying the lease. See GASB 87 paragraph 39.]</w:t>
      </w:r>
    </w:p>
    <w:p w14:paraId="79FAD446" w14:textId="77777777" w:rsidR="002B5EE6" w:rsidRPr="00F346C5" w:rsidRDefault="002B5EE6" w:rsidP="002B5EE6">
      <w:pPr>
        <w:tabs>
          <w:tab w:val="left" w:pos="1560"/>
        </w:tabs>
        <w:spacing w:after="240" w:line="240" w:lineRule="auto"/>
        <w:ind w:left="360"/>
        <w:jc w:val="both"/>
        <w:rPr>
          <w:rFonts w:ascii="Aptos" w:eastAsia="Times New Roman" w:hAnsi="Aptos" w:cs="Arial"/>
          <w:b/>
          <w:i/>
          <w:color w:val="0000FF"/>
        </w:rPr>
      </w:pPr>
      <w:r w:rsidRPr="00F346C5">
        <w:rPr>
          <w:rFonts w:ascii="Aptos" w:eastAsia="Times New Roman" w:hAnsi="Aptos" w:cs="Arial"/>
          <w:b/>
          <w:i/>
          <w:color w:val="0000FF"/>
        </w:rPr>
        <w:t>[Note to preparer: GASB 87 requires additional disclosures for sublease transactions, sale-leaseback transactions, and lease-leaseback transactions. See GASB 87 paragraph 38 for further information.]</w:t>
      </w:r>
    </w:p>
    <w:p w14:paraId="26AE6D41" w14:textId="2E9BC6B0" w:rsidR="002B5EE6" w:rsidRPr="00F346C5" w:rsidRDefault="002B5EE6" w:rsidP="00D35E80">
      <w:pPr>
        <w:spacing w:after="240" w:line="240" w:lineRule="auto"/>
        <w:ind w:left="360"/>
        <w:jc w:val="both"/>
        <w:rPr>
          <w:rFonts w:ascii="Aptos" w:eastAsia="Calibri" w:hAnsi="Aptos" w:cs="Arial"/>
        </w:rPr>
      </w:pPr>
      <w:r w:rsidRPr="00F346C5">
        <w:rPr>
          <w:rFonts w:ascii="Aptos" w:eastAsia="Calibri" w:hAnsi="Aptos" w:cs="Arial"/>
        </w:rPr>
        <w:t xml:space="preserve">The </w:t>
      </w:r>
      <w:r w:rsidR="00D35E80" w:rsidRPr="00F346C5">
        <w:rPr>
          <w:rFonts w:ascii="Aptos" w:eastAsia="Calibri" w:hAnsi="Aptos" w:cs="Arial"/>
        </w:rPr>
        <w:t>College</w:t>
      </w:r>
      <w:r w:rsidRPr="00F346C5">
        <w:rPr>
          <w:rFonts w:ascii="Aptos" w:eastAsia="Calibri" w:hAnsi="Aptos" w:cs="Arial"/>
        </w:rPr>
        <w:t xml:space="preserve">’s lessee arrangements at </w:t>
      </w:r>
      <w:r w:rsidR="00D001EB" w:rsidRPr="00F346C5">
        <w:rPr>
          <w:rFonts w:ascii="Aptos" w:eastAsia="Calibri" w:hAnsi="Aptos" w:cs="Arial"/>
        </w:rPr>
        <w:t xml:space="preserve">June 30, </w:t>
      </w:r>
      <w:r w:rsidR="00F24D2D" w:rsidRPr="0019002A">
        <w:rPr>
          <w:rFonts w:ascii="Aptos" w:eastAsia="Calibri" w:hAnsi="Aptos" w:cs="Arial"/>
        </w:rPr>
        <w:t>2026</w:t>
      </w:r>
      <w:r w:rsidRPr="00F346C5">
        <w:rPr>
          <w:rFonts w:ascii="Aptos" w:eastAsia="Calibri" w:hAnsi="Aptos" w:cs="Arial"/>
        </w:rPr>
        <w:t>, are summarized below (excluding short-term leases):</w:t>
      </w:r>
    </w:p>
    <w:bookmarkStart w:id="277" w:name="_Hlk199504796"/>
    <w:bookmarkStart w:id="278" w:name="_MON_1752298897"/>
    <w:bookmarkEnd w:id="278"/>
    <w:p w14:paraId="0CA218C7" w14:textId="1A2CC52C" w:rsidR="002B5EE6" w:rsidRPr="00F346C5" w:rsidRDefault="008821A4" w:rsidP="002B5EE6">
      <w:pPr>
        <w:spacing w:after="240" w:line="240" w:lineRule="auto"/>
        <w:ind w:left="360"/>
        <w:jc w:val="both"/>
        <w:rPr>
          <w:rFonts w:ascii="Aptos" w:eastAsia="Calibri" w:hAnsi="Aptos" w:cs="Times New Roman"/>
        </w:rPr>
      </w:pPr>
      <w:r w:rsidRPr="00F346C5">
        <w:rPr>
          <w:rFonts w:ascii="Aptos" w:eastAsia="Calibri" w:hAnsi="Aptos" w:cs="Times New Roman"/>
        </w:rPr>
        <w:object w:dxaOrig="13648" w:dyaOrig="3623" w14:anchorId="08579916">
          <v:shape id="_x0000_i1041" type="#_x0000_t75" style="width:474.75pt;height:141pt" o:ole="">
            <v:imagedata r:id="rId57" o:title=""/>
          </v:shape>
          <o:OLEObject Type="Embed" ProgID="Excel.Sheet.12" ShapeID="_x0000_i1041" DrawAspect="Content" ObjectID="_1843297344" r:id="rId58"/>
        </w:object>
      </w:r>
      <w:bookmarkEnd w:id="277"/>
    </w:p>
    <w:p w14:paraId="419D4CAE" w14:textId="773515B4" w:rsidR="002B5EE6" w:rsidRPr="00F346C5" w:rsidRDefault="002B5EE6" w:rsidP="002B5EE6">
      <w:pPr>
        <w:numPr>
          <w:ilvl w:val="0"/>
          <w:numId w:val="36"/>
        </w:numPr>
        <w:spacing w:after="240" w:line="240" w:lineRule="auto"/>
        <w:ind w:left="360"/>
        <w:jc w:val="both"/>
        <w:rPr>
          <w:rFonts w:ascii="Aptos" w:eastAsia="Times New Roman" w:hAnsi="Aptos" w:cs="Arial"/>
        </w:rPr>
      </w:pPr>
      <w:r w:rsidRPr="00F346C5">
        <w:rPr>
          <w:rFonts w:ascii="Aptos" w:eastAsia="Times New Roman" w:hAnsi="Aptos" w:cs="Arial"/>
          <w:b/>
        </w:rPr>
        <w:t xml:space="preserve">Subscription-Based Information Technology </w:t>
      </w:r>
      <w:r w:rsidRPr="00F346C5">
        <w:rPr>
          <w:rFonts w:ascii="Aptos" w:eastAsia="Times New Roman" w:hAnsi="Aptos" w:cs="Arial"/>
          <w:b/>
          <w:bCs/>
        </w:rPr>
        <w:t xml:space="preserve">Arrangements (SBITAs) </w:t>
      </w:r>
      <w:r w:rsidRPr="00F346C5">
        <w:rPr>
          <w:rFonts w:ascii="Aptos" w:eastAsia="Times New Roman" w:hAnsi="Aptos" w:cs="Arial"/>
        </w:rPr>
        <w:t xml:space="preserve">- The </w:t>
      </w:r>
      <w:r w:rsidR="00D35E80" w:rsidRPr="00F346C5">
        <w:rPr>
          <w:rFonts w:ascii="Aptos" w:eastAsia="Times New Roman" w:hAnsi="Aptos" w:cs="Arial"/>
        </w:rPr>
        <w:t>College</w:t>
      </w:r>
      <w:r w:rsidRPr="00F346C5">
        <w:rPr>
          <w:rFonts w:ascii="Aptos" w:eastAsia="Times New Roman" w:hAnsi="Aptos" w:cs="Arial"/>
        </w:rPr>
        <w:t xml:space="preserve"> enters SBITAs for </w:t>
      </w:r>
      <w:r w:rsidRPr="00F346C5">
        <w:rPr>
          <w:rFonts w:ascii="Aptos" w:eastAsia="Times New Roman" w:hAnsi="Aptos" w:cs="Arial"/>
          <w:b/>
          <w:bCs/>
          <w:color w:val="0000FF"/>
        </w:rPr>
        <w:t>[the right to use information technology software and cloud computing arrangement (network) assets from both external and related parties]</w:t>
      </w:r>
      <w:r w:rsidRPr="00F346C5">
        <w:rPr>
          <w:rFonts w:ascii="Aptos" w:eastAsia="Times New Roman" w:hAnsi="Aptos" w:cs="Arial"/>
        </w:rPr>
        <w:t xml:space="preserve">. The SBITAs expire at various dates, and some have renewal options. Subscription liabilities and the related right-to-use subscription assets are recorded based on the present value of expected payments over the term of the respective SBITA. </w:t>
      </w:r>
      <w:r w:rsidRPr="00F346C5">
        <w:rPr>
          <w:rFonts w:ascii="Aptos" w:eastAsia="Calibri" w:hAnsi="Aptos" w:cs="Arial"/>
        </w:rPr>
        <w:t xml:space="preserve">The expected payments are discounted using the interest rate stated per the SBITA contract, or the </w:t>
      </w:r>
      <w:r w:rsidR="00D35E80" w:rsidRPr="00F346C5">
        <w:rPr>
          <w:rFonts w:ascii="Aptos" w:eastAsia="Calibri" w:hAnsi="Aptos" w:cs="Arial"/>
        </w:rPr>
        <w:t>College</w:t>
      </w:r>
      <w:r w:rsidRPr="00F346C5">
        <w:rPr>
          <w:rFonts w:ascii="Aptos" w:eastAsia="Calibri" w:hAnsi="Aptos" w:cs="Arial"/>
        </w:rPr>
        <w:t>’s estimated incremental borrowing rate if there is no stated contractual interest rate.</w:t>
      </w:r>
      <w:r w:rsidRPr="00F346C5">
        <w:rPr>
          <w:rFonts w:ascii="Aptos" w:eastAsia="Times New Roman" w:hAnsi="Aptos" w:cs="Arial"/>
        </w:rPr>
        <w:t xml:space="preserve"> </w:t>
      </w:r>
    </w:p>
    <w:p w14:paraId="4A938681" w14:textId="42FD962E" w:rsidR="002B5EE6" w:rsidRPr="00F346C5" w:rsidRDefault="002B5EE6" w:rsidP="002B5EE6">
      <w:pPr>
        <w:spacing w:after="240" w:line="240" w:lineRule="auto"/>
        <w:ind w:left="360"/>
        <w:jc w:val="both"/>
        <w:rPr>
          <w:rFonts w:ascii="Aptos" w:eastAsia="Times New Roman" w:hAnsi="Aptos" w:cs="Arial"/>
          <w:color w:val="0000FF"/>
        </w:rPr>
      </w:pPr>
      <w:r w:rsidRPr="00F346C5">
        <w:rPr>
          <w:rFonts w:ascii="Aptos" w:eastAsia="Times New Roman" w:hAnsi="Aptos" w:cs="Arial"/>
          <w:b/>
          <w:i/>
          <w:color w:val="0000FF"/>
        </w:rPr>
        <w:t>[Note to preparer: See GASB Statement No. 96, paragraph 17 and 60 for disclosure requirements. An example is provided as follows:]</w:t>
      </w:r>
      <w:r w:rsidRPr="00F346C5">
        <w:rPr>
          <w:rFonts w:ascii="Aptos" w:eastAsia="Times New Roman" w:hAnsi="Aptos" w:cs="Arial"/>
          <w:color w:val="0000FF"/>
        </w:rPr>
        <w:t xml:space="preserve"> </w:t>
      </w:r>
      <w:r w:rsidRPr="00F346C5">
        <w:rPr>
          <w:rFonts w:ascii="Aptos" w:eastAsia="Times New Roman" w:hAnsi="Aptos" w:cs="Arial"/>
        </w:rPr>
        <w:t xml:space="preserve">Measurement of the subscription liability excluded the following variable payment amounts: 1) the increase or decrease in payments after the initial measurement of the subscription liability that depend on changes in an index or rate (such as the Consumer Price Index) and 2) payments based on future performance or usage of the underlying assets. </w:t>
      </w:r>
      <w:r w:rsidRPr="00F346C5">
        <w:rPr>
          <w:rFonts w:ascii="Aptos" w:eastAsia="Times New Roman" w:hAnsi="Aptos" w:cs="Arial"/>
          <w:color w:val="0000FF"/>
        </w:rPr>
        <w:t xml:space="preserve">[During the fiscal year, the </w:t>
      </w:r>
      <w:r w:rsidR="00D35E80" w:rsidRPr="00F346C5">
        <w:rPr>
          <w:rFonts w:ascii="Aptos" w:eastAsia="Times New Roman" w:hAnsi="Aptos" w:cs="Arial"/>
          <w:color w:val="0000FF"/>
        </w:rPr>
        <w:t>College</w:t>
      </w:r>
      <w:r w:rsidRPr="00F346C5">
        <w:rPr>
          <w:rFonts w:ascii="Aptos" w:eastAsia="Times New Roman" w:hAnsi="Aptos" w:cs="Arial"/>
          <w:color w:val="0000FF"/>
        </w:rPr>
        <w:t xml:space="preserve"> recognized expenses of $______ for these changes in variable payments not previously included in the measurement of the subscription liability. The </w:t>
      </w:r>
      <w:r w:rsidR="00D35E80" w:rsidRPr="00F346C5">
        <w:rPr>
          <w:rFonts w:ascii="Aptos" w:eastAsia="Times New Roman" w:hAnsi="Aptos" w:cs="Arial"/>
          <w:color w:val="0000FF"/>
        </w:rPr>
        <w:t>College</w:t>
      </w:r>
      <w:r w:rsidRPr="00F346C5">
        <w:rPr>
          <w:rFonts w:ascii="Aptos" w:eastAsia="Times New Roman" w:hAnsi="Aptos" w:cs="Arial"/>
          <w:color w:val="0000FF"/>
        </w:rPr>
        <w:t xml:space="preserve"> also recognized expenses of $_____ for termination payments not previously included in the measurement of the subscription liability.] </w:t>
      </w:r>
      <w:r w:rsidRPr="00F346C5">
        <w:rPr>
          <w:rFonts w:ascii="Aptos" w:eastAsia="Times New Roman" w:hAnsi="Aptos" w:cs="Arial"/>
          <w:b/>
          <w:bCs/>
          <w:color w:val="0000FF"/>
          <w:u w:val="single"/>
        </w:rPr>
        <w:t>or</w:t>
      </w:r>
      <w:r w:rsidRPr="00F346C5">
        <w:rPr>
          <w:rFonts w:ascii="Aptos" w:eastAsia="Times New Roman" w:hAnsi="Aptos" w:cs="Arial"/>
          <w:color w:val="0000FF"/>
        </w:rPr>
        <w:t xml:space="preserve"> [During the year the </w:t>
      </w:r>
      <w:r w:rsidR="00D35E80" w:rsidRPr="00F346C5">
        <w:rPr>
          <w:rFonts w:ascii="Aptos" w:eastAsia="Times New Roman" w:hAnsi="Aptos" w:cs="Arial"/>
          <w:color w:val="0000FF"/>
        </w:rPr>
        <w:t>College</w:t>
      </w:r>
      <w:r w:rsidRPr="00F346C5">
        <w:rPr>
          <w:rFonts w:ascii="Aptos" w:eastAsia="Times New Roman" w:hAnsi="Aptos" w:cs="Arial"/>
          <w:color w:val="0000FF"/>
        </w:rPr>
        <w:t xml:space="preserve"> did not recognize any variable payment amounts.] </w:t>
      </w:r>
    </w:p>
    <w:p w14:paraId="189BCDCB" w14:textId="59A149DC" w:rsidR="002B5EE6" w:rsidRPr="00F346C5" w:rsidRDefault="002B5EE6" w:rsidP="002B5EE6">
      <w:pPr>
        <w:spacing w:after="240" w:line="240" w:lineRule="auto"/>
        <w:ind w:left="360"/>
        <w:jc w:val="both"/>
        <w:rPr>
          <w:rFonts w:ascii="Aptos" w:eastAsia="Times New Roman" w:hAnsi="Aptos" w:cs="Arial"/>
        </w:rPr>
      </w:pPr>
      <w:r w:rsidRPr="00F346C5">
        <w:rPr>
          <w:rFonts w:ascii="Aptos" w:eastAsia="Times New Roman" w:hAnsi="Aptos" w:cs="Arial"/>
        </w:rPr>
        <w:t xml:space="preserve">The </w:t>
      </w:r>
      <w:r w:rsidR="00D35E80" w:rsidRPr="00F346C5">
        <w:rPr>
          <w:rFonts w:ascii="Aptos" w:eastAsia="Times New Roman" w:hAnsi="Aptos" w:cs="Arial"/>
        </w:rPr>
        <w:t>College</w:t>
      </w:r>
      <w:r w:rsidRPr="00F346C5">
        <w:rPr>
          <w:rFonts w:ascii="Aptos" w:eastAsia="Times New Roman" w:hAnsi="Aptos" w:cs="Arial"/>
        </w:rPr>
        <w:t xml:space="preserve"> had commitments under SBITAs before the SBITA term as follows: a </w:t>
      </w:r>
      <w:r w:rsidRPr="00F346C5">
        <w:rPr>
          <w:rFonts w:ascii="Aptos" w:eastAsia="Times New Roman" w:hAnsi="Aptos" w:cs="Arial"/>
          <w:b/>
          <w:bCs/>
          <w:color w:val="0000FF"/>
        </w:rPr>
        <w:t>xxxx</w:t>
      </w:r>
      <w:r w:rsidRPr="00F346C5">
        <w:rPr>
          <w:rFonts w:ascii="Aptos" w:eastAsia="Times New Roman" w:hAnsi="Aptos" w:cs="Arial"/>
        </w:rPr>
        <w:t>-year SBITA for the right-to-use _____ (</w:t>
      </w:r>
      <w:r w:rsidRPr="00F346C5">
        <w:rPr>
          <w:rFonts w:ascii="Aptos" w:eastAsia="Times New Roman" w:hAnsi="Aptos" w:cs="Arial"/>
          <w:b/>
          <w:bCs/>
          <w:color w:val="0000FF"/>
        </w:rPr>
        <w:t>describe subscription asset</w:t>
      </w:r>
      <w:r w:rsidRPr="00F346C5">
        <w:rPr>
          <w:rFonts w:ascii="Aptos" w:eastAsia="Times New Roman" w:hAnsi="Aptos" w:cs="Arial"/>
        </w:rPr>
        <w:t>) beginning ____ (</w:t>
      </w:r>
      <w:r w:rsidRPr="00F346C5">
        <w:rPr>
          <w:rFonts w:ascii="Aptos" w:eastAsia="Times New Roman" w:hAnsi="Aptos" w:cs="Arial"/>
          <w:b/>
          <w:bCs/>
          <w:color w:val="0000FF"/>
        </w:rPr>
        <w:t xml:space="preserve">insert </w:t>
      </w:r>
      <w:r w:rsidRPr="00F346C5">
        <w:rPr>
          <w:rFonts w:ascii="Aptos" w:eastAsia="Times New Roman" w:hAnsi="Aptos" w:cs="Arial"/>
          <w:b/>
          <w:bCs/>
          <w:color w:val="0000FF"/>
        </w:rPr>
        <w:lastRenderedPageBreak/>
        <w:t>commencement date</w:t>
      </w:r>
      <w:r w:rsidRPr="00F346C5">
        <w:rPr>
          <w:rFonts w:ascii="Aptos" w:eastAsia="Times New Roman" w:hAnsi="Aptos" w:cs="Arial"/>
        </w:rPr>
        <w:t xml:space="preserve">) with total payments over the period of $_____. </w:t>
      </w:r>
      <w:r w:rsidRPr="00F346C5">
        <w:rPr>
          <w:rFonts w:ascii="Aptos" w:eastAsia="Times New Roman" w:hAnsi="Aptos" w:cs="Arial"/>
          <w:b/>
          <w:bCs/>
          <w:color w:val="0000FF"/>
        </w:rPr>
        <w:t>[remove if none, see GASB 96 paragraph 26, 35 and 60]</w:t>
      </w:r>
    </w:p>
    <w:p w14:paraId="2C32B0CD" w14:textId="77777777" w:rsidR="002B5EE6" w:rsidRPr="00F346C5" w:rsidRDefault="002B5EE6" w:rsidP="002B5EE6">
      <w:pPr>
        <w:tabs>
          <w:tab w:val="left" w:pos="1560"/>
        </w:tabs>
        <w:spacing w:after="240" w:line="240" w:lineRule="auto"/>
        <w:ind w:left="360"/>
        <w:jc w:val="both"/>
        <w:rPr>
          <w:rFonts w:ascii="Aptos" w:eastAsia="Times New Roman" w:hAnsi="Aptos" w:cs="Arial"/>
          <w:b/>
          <w:i/>
          <w:color w:val="0000FF"/>
        </w:rPr>
      </w:pPr>
      <w:r w:rsidRPr="00F346C5">
        <w:rPr>
          <w:rFonts w:ascii="Aptos" w:eastAsia="Times New Roman" w:hAnsi="Aptos" w:cs="Arial"/>
          <w:b/>
          <w:i/>
          <w:color w:val="0000FF"/>
        </w:rPr>
        <w:t>[Note to preparer: If a SBITA asset is impaired (described in paragraph 9 of Statement 42) additional disclosures are required. See GASB 96 paragraphs 41 and 60]</w:t>
      </w:r>
    </w:p>
    <w:p w14:paraId="2FB569F6" w14:textId="29220888" w:rsidR="002B5EE6" w:rsidRPr="00F346C5" w:rsidRDefault="002B5EE6" w:rsidP="00D35E80">
      <w:pPr>
        <w:spacing w:after="240" w:line="240" w:lineRule="auto"/>
        <w:ind w:left="360"/>
        <w:jc w:val="both"/>
        <w:rPr>
          <w:rFonts w:ascii="Aptos" w:eastAsia="Calibri" w:hAnsi="Aptos" w:cs="Arial"/>
        </w:rPr>
      </w:pPr>
      <w:r w:rsidRPr="00F346C5">
        <w:rPr>
          <w:rFonts w:ascii="Aptos" w:eastAsia="Calibri" w:hAnsi="Aptos" w:cs="Arial"/>
        </w:rPr>
        <w:t xml:space="preserve">The </w:t>
      </w:r>
      <w:r w:rsidR="00D35E80" w:rsidRPr="00F346C5">
        <w:rPr>
          <w:rFonts w:ascii="Aptos" w:eastAsia="Calibri" w:hAnsi="Aptos" w:cs="Arial"/>
        </w:rPr>
        <w:t>College</w:t>
      </w:r>
      <w:r w:rsidRPr="00F346C5">
        <w:rPr>
          <w:rFonts w:ascii="Aptos" w:eastAsia="Calibri" w:hAnsi="Aptos" w:cs="Arial"/>
        </w:rPr>
        <w:t xml:space="preserve">’s SBITAs at </w:t>
      </w:r>
      <w:r w:rsidR="00D001EB" w:rsidRPr="00F346C5">
        <w:rPr>
          <w:rFonts w:ascii="Aptos" w:eastAsia="Calibri" w:hAnsi="Aptos" w:cs="Arial"/>
        </w:rPr>
        <w:t xml:space="preserve">June 30, </w:t>
      </w:r>
      <w:r w:rsidR="00D001EB" w:rsidRPr="0019002A">
        <w:rPr>
          <w:rFonts w:ascii="Aptos" w:eastAsia="Calibri" w:hAnsi="Aptos" w:cs="Arial"/>
        </w:rPr>
        <w:t>202</w:t>
      </w:r>
      <w:r w:rsidR="00A40FA7" w:rsidRPr="0019002A">
        <w:rPr>
          <w:rFonts w:ascii="Aptos" w:eastAsia="Calibri" w:hAnsi="Aptos" w:cs="Arial"/>
        </w:rPr>
        <w:t>6</w:t>
      </w:r>
      <w:r w:rsidRPr="00F346C5">
        <w:rPr>
          <w:rFonts w:ascii="Aptos" w:eastAsia="Calibri" w:hAnsi="Aptos" w:cs="Arial"/>
        </w:rPr>
        <w:t>, are summarized below (excluding short-term SBITAs):</w:t>
      </w:r>
    </w:p>
    <w:bookmarkStart w:id="279" w:name="_Hlk199504807"/>
    <w:bookmarkStart w:id="280" w:name="_MON_1752296862"/>
    <w:bookmarkEnd w:id="280"/>
    <w:p w14:paraId="5DAED2C4" w14:textId="284DE0DD" w:rsidR="002B5EE6" w:rsidRPr="00F346C5" w:rsidRDefault="0019002A" w:rsidP="00A72825">
      <w:pPr>
        <w:spacing w:after="240" w:line="240" w:lineRule="auto"/>
        <w:ind w:left="90"/>
        <w:jc w:val="center"/>
        <w:rPr>
          <w:rFonts w:ascii="Aptos" w:eastAsia="Calibri" w:hAnsi="Aptos" w:cs="Times New Roman"/>
        </w:rPr>
      </w:pPr>
      <w:r w:rsidRPr="00F346C5">
        <w:rPr>
          <w:rFonts w:ascii="Aptos" w:eastAsia="Calibri" w:hAnsi="Aptos" w:cs="Times New Roman"/>
        </w:rPr>
        <w:object w:dxaOrig="11810" w:dyaOrig="1746" w14:anchorId="7E46D67C">
          <v:shape id="_x0000_i1042" type="#_x0000_t75" style="width:501pt;height:73.5pt" o:ole="">
            <v:imagedata r:id="rId59" o:title=""/>
          </v:shape>
          <o:OLEObject Type="Embed" ProgID="Excel.Sheet.12" ShapeID="_x0000_i1042" DrawAspect="Content" ObjectID="_1843297345" r:id="rId60"/>
        </w:object>
      </w:r>
      <w:bookmarkEnd w:id="279"/>
    </w:p>
    <w:p w14:paraId="16D87F39" w14:textId="19AE24E5" w:rsidR="002B5EE6" w:rsidRPr="00F346C5" w:rsidRDefault="002B5EE6" w:rsidP="00D35E80">
      <w:pPr>
        <w:numPr>
          <w:ilvl w:val="0"/>
          <w:numId w:val="36"/>
        </w:numPr>
        <w:spacing w:after="240" w:line="240" w:lineRule="auto"/>
        <w:ind w:left="360"/>
        <w:jc w:val="both"/>
        <w:rPr>
          <w:rFonts w:ascii="Aptos" w:eastAsia="Calibri" w:hAnsi="Aptos" w:cs="Times New Roman"/>
        </w:rPr>
      </w:pPr>
      <w:r w:rsidRPr="00F346C5">
        <w:rPr>
          <w:rFonts w:ascii="Aptos" w:eastAsia="Times New Roman" w:hAnsi="Aptos" w:cs="Arial"/>
          <w:b/>
        </w:rPr>
        <w:t>Annual Requirements</w:t>
      </w:r>
      <w:r w:rsidRPr="00F346C5">
        <w:rPr>
          <w:rFonts w:ascii="Aptos" w:eastAsia="Times New Roman" w:hAnsi="Aptos" w:cs="Arial"/>
        </w:rPr>
        <w:t xml:space="preserve"> - The annual requirements to pay principal and interest on leases and SBITAs at </w:t>
      </w:r>
      <w:r w:rsidR="00D001EB" w:rsidRPr="00F346C5">
        <w:rPr>
          <w:rFonts w:ascii="Aptos" w:eastAsia="Times New Roman" w:hAnsi="Aptos" w:cs="Arial"/>
        </w:rPr>
        <w:t xml:space="preserve">June 30, </w:t>
      </w:r>
      <w:r w:rsidR="00D001EB" w:rsidRPr="0019002A">
        <w:rPr>
          <w:rFonts w:ascii="Aptos" w:eastAsia="Times New Roman" w:hAnsi="Aptos" w:cs="Arial"/>
        </w:rPr>
        <w:t>202</w:t>
      </w:r>
      <w:r w:rsidR="00A40FA7" w:rsidRPr="0019002A">
        <w:rPr>
          <w:rFonts w:ascii="Aptos" w:eastAsia="Times New Roman" w:hAnsi="Aptos" w:cs="Arial"/>
        </w:rPr>
        <w:t>6</w:t>
      </w:r>
      <w:r w:rsidRPr="00F346C5">
        <w:rPr>
          <w:rFonts w:ascii="Aptos" w:eastAsia="Times New Roman" w:hAnsi="Aptos" w:cs="Arial"/>
        </w:rPr>
        <w:t>, are as follows:</w:t>
      </w:r>
    </w:p>
    <w:bookmarkStart w:id="281" w:name="_Hlk199504828"/>
    <w:bookmarkStart w:id="282" w:name="_MON_1751965618"/>
    <w:bookmarkEnd w:id="282"/>
    <w:p w14:paraId="032AD8C8" w14:textId="7A69168F" w:rsidR="009D62EA" w:rsidRPr="00F346C5" w:rsidRDefault="00757E36" w:rsidP="00D35E80">
      <w:pPr>
        <w:pStyle w:val="NOTES1A"/>
        <w:ind w:left="360" w:firstLine="0"/>
        <w:jc w:val="center"/>
        <w:rPr>
          <w:rFonts w:ascii="Aptos" w:hAnsi="Aptos" w:cs="Arial"/>
          <w:b/>
          <w:i/>
          <w:color w:val="0000FF"/>
          <w:sz w:val="22"/>
          <w:szCs w:val="22"/>
          <w:highlight w:val="yellow"/>
        </w:rPr>
      </w:pPr>
      <w:r w:rsidRPr="00F346C5">
        <w:rPr>
          <w:rFonts w:ascii="Aptos" w:eastAsia="Calibri" w:hAnsi="Aptos"/>
          <w:sz w:val="22"/>
          <w:szCs w:val="22"/>
        </w:rPr>
        <w:object w:dxaOrig="8796" w:dyaOrig="4261" w14:anchorId="2D56EA5B">
          <v:shape id="_x0000_i1043" type="#_x0000_t75" style="width:393pt;height:189pt" o:ole="">
            <v:imagedata r:id="rId61" o:title=""/>
          </v:shape>
          <o:OLEObject Type="Embed" ProgID="Excel.Sheet.12" ShapeID="_x0000_i1043" DrawAspect="Content" ObjectID="_1843297346" r:id="rId62"/>
        </w:object>
      </w:r>
      <w:bookmarkEnd w:id="281"/>
    </w:p>
    <w:p w14:paraId="1DCB20B0" w14:textId="77777777" w:rsidR="009D62EA" w:rsidRPr="00F346C5" w:rsidRDefault="009D62EA"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r w:rsidRPr="00F346C5">
        <w:rPr>
          <w:rFonts w:ascii="Aptos" w:eastAsia="Times New Roman" w:hAnsi="Aptos" w:cs="Times New Roman"/>
          <w:b/>
          <w:kern w:val="28"/>
        </w:rPr>
        <w:t>Note 11</w:t>
      </w:r>
      <w:r w:rsidRPr="00F346C5">
        <w:rPr>
          <w:rFonts w:ascii="Aptos" w:eastAsia="Times New Roman" w:hAnsi="Aptos" w:cs="Times New Roman"/>
          <w:b/>
          <w:kern w:val="28"/>
        </w:rPr>
        <w:tab/>
        <w:t>-</w:t>
      </w:r>
      <w:r w:rsidRPr="00F346C5">
        <w:rPr>
          <w:rFonts w:ascii="Aptos" w:eastAsia="Times New Roman" w:hAnsi="Aptos" w:cs="Times New Roman"/>
          <w:b/>
          <w:kern w:val="28"/>
        </w:rPr>
        <w:tab/>
        <w:t>Net Position</w:t>
      </w:r>
    </w:p>
    <w:p w14:paraId="14B1C3FA" w14:textId="77777777" w:rsidR="009D62EA" w:rsidRPr="00F346C5" w:rsidRDefault="009D62EA" w:rsidP="009D62EA">
      <w:pPr>
        <w:spacing w:after="240" w:line="240" w:lineRule="auto"/>
        <w:jc w:val="both"/>
        <w:rPr>
          <w:rFonts w:ascii="Aptos" w:eastAsia="Times New Roman" w:hAnsi="Aptos" w:cs="Arial"/>
          <w:b/>
          <w:i/>
          <w:color w:val="0000FF"/>
        </w:rPr>
      </w:pPr>
      <w:r w:rsidRPr="00F346C5">
        <w:rPr>
          <w:rFonts w:ascii="Aptos" w:eastAsia="Times New Roman" w:hAnsi="Aptos" w:cs="Arial"/>
          <w:b/>
          <w:i/>
          <w:color w:val="0000FF"/>
        </w:rPr>
        <w:t>[Per GASB 63 paragraph 14, describe any transactions that resulted in the recognition of a deferred outflow of resources or deferred inflow of resources in which a component of net position has been significantly affected. Common examples from the recognition of net pension liability and net OPB liability have been provided below. Another possible item includes Asset Retirement Obligations.]</w:t>
      </w:r>
    </w:p>
    <w:p w14:paraId="02B8159B" w14:textId="77777777" w:rsidR="009D62EA" w:rsidRPr="00F346C5" w:rsidRDefault="009D62EA" w:rsidP="009D62EA">
      <w:pPr>
        <w:spacing w:after="240" w:line="240" w:lineRule="auto"/>
        <w:jc w:val="both"/>
        <w:rPr>
          <w:rFonts w:ascii="Aptos" w:eastAsia="Times New Roman" w:hAnsi="Aptos" w:cs="Arial"/>
        </w:rPr>
      </w:pPr>
      <w:r w:rsidRPr="00F346C5">
        <w:rPr>
          <w:rFonts w:ascii="Aptos" w:eastAsia="Times New Roman" w:hAnsi="Aptos" w:cs="Arial"/>
        </w:rPr>
        <w:t xml:space="preserve">Unrestricted net position has been significantly affected by transactions resulting from the recognition of deferred outflows of resources, deferred inflows of resources, and related long-term liabilities, as shown in the following table: </w:t>
      </w:r>
    </w:p>
    <w:bookmarkStart w:id="283" w:name="_Hlk199504841"/>
    <w:bookmarkStart w:id="284" w:name="_MON_1843040773"/>
    <w:bookmarkEnd w:id="284"/>
    <w:p w14:paraId="2FBCBC5C" w14:textId="7890E0B1" w:rsidR="00A72825" w:rsidRPr="00F346C5" w:rsidRDefault="00757E36" w:rsidP="009D62EA">
      <w:pPr>
        <w:spacing w:after="240" w:line="240" w:lineRule="auto"/>
        <w:jc w:val="both"/>
        <w:rPr>
          <w:rFonts w:ascii="Aptos" w:eastAsia="Times New Roman" w:hAnsi="Aptos" w:cs="Arial"/>
        </w:rPr>
      </w:pPr>
      <w:r w:rsidRPr="00F346C5">
        <w:rPr>
          <w:rFonts w:ascii="Aptos" w:eastAsia="Times New Roman" w:hAnsi="Aptos" w:cs="Arial"/>
        </w:rPr>
        <w:object w:dxaOrig="10572" w:dyaOrig="3492" w14:anchorId="092C6F0F">
          <v:shape id="_x0000_i1044" type="#_x0000_t75" style="width:446.25pt;height:147pt" o:ole="">
            <v:imagedata r:id="rId63" o:title=""/>
          </v:shape>
          <o:OLEObject Type="Embed" ProgID="Excel.Sheet.12" ShapeID="_x0000_i1044" DrawAspect="Content" ObjectID="_1843297347" r:id="rId64"/>
        </w:object>
      </w:r>
      <w:bookmarkEnd w:id="283"/>
    </w:p>
    <w:p w14:paraId="0180C5EC" w14:textId="77777777" w:rsidR="009D62EA" w:rsidRPr="00F346C5" w:rsidRDefault="009D62EA" w:rsidP="009D62EA">
      <w:pPr>
        <w:spacing w:after="240" w:line="240" w:lineRule="auto"/>
        <w:jc w:val="both"/>
        <w:rPr>
          <w:rFonts w:ascii="Aptos" w:eastAsia="Times New Roman" w:hAnsi="Aptos" w:cs="Arial"/>
        </w:rPr>
      </w:pPr>
      <w:r w:rsidRPr="00F346C5">
        <w:rPr>
          <w:rFonts w:ascii="Aptos" w:eastAsia="Times New Roman" w:hAnsi="Aptos" w:cs="Arial"/>
        </w:rPr>
        <w:t xml:space="preserve">See Notes </w:t>
      </w:r>
      <w:r w:rsidRPr="00F346C5">
        <w:rPr>
          <w:rFonts w:ascii="Aptos" w:eastAsia="Times New Roman" w:hAnsi="Aptos" w:cs="Arial"/>
          <w:b/>
          <w:color w:val="0000FF"/>
        </w:rPr>
        <w:t>XX</w:t>
      </w:r>
      <w:r w:rsidRPr="00F346C5">
        <w:rPr>
          <w:rFonts w:ascii="Aptos" w:eastAsia="Times New Roman" w:hAnsi="Aptos" w:cs="Arial"/>
        </w:rPr>
        <w:t xml:space="preserve"> and </w:t>
      </w:r>
      <w:r w:rsidRPr="00F346C5">
        <w:rPr>
          <w:rFonts w:ascii="Aptos" w:eastAsia="Times New Roman" w:hAnsi="Aptos" w:cs="Arial"/>
          <w:b/>
          <w:color w:val="0000FF"/>
        </w:rPr>
        <w:t>XX</w:t>
      </w:r>
      <w:r w:rsidRPr="00F346C5">
        <w:rPr>
          <w:rFonts w:ascii="Aptos" w:eastAsia="Times New Roman" w:hAnsi="Aptos" w:cs="Arial"/>
        </w:rPr>
        <w:t xml:space="preserve"> for detailed information regarding the amortization of the deferred outflows of resources and deferred inflows of resources relating to pensions and OPEB, respectively </w:t>
      </w:r>
      <w:r w:rsidRPr="00F346C5">
        <w:rPr>
          <w:rFonts w:ascii="Aptos" w:eastAsia="Times New Roman" w:hAnsi="Aptos" w:cs="Arial"/>
          <w:b/>
          <w:i/>
          <w:color w:val="0000FF"/>
        </w:rPr>
        <w:t>[modify to reference pension and OPEB disclosures]</w:t>
      </w:r>
      <w:r w:rsidRPr="00F346C5">
        <w:rPr>
          <w:rFonts w:ascii="Aptos" w:eastAsia="Times New Roman" w:hAnsi="Aptos" w:cs="Arial"/>
        </w:rPr>
        <w:t>.</w:t>
      </w:r>
    </w:p>
    <w:p w14:paraId="4435A01D" w14:textId="77777777" w:rsidR="009D62EA" w:rsidRPr="00F346C5" w:rsidRDefault="009D62EA"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r w:rsidRPr="00F346C5">
        <w:rPr>
          <w:rFonts w:ascii="Aptos" w:eastAsia="Times New Roman" w:hAnsi="Aptos" w:cs="Times New Roman"/>
          <w:b/>
          <w:kern w:val="28"/>
        </w:rPr>
        <w:t>Note 12</w:t>
      </w:r>
      <w:r w:rsidRPr="00F346C5">
        <w:rPr>
          <w:rFonts w:ascii="Aptos" w:eastAsia="Times New Roman" w:hAnsi="Aptos" w:cs="Times New Roman"/>
          <w:b/>
          <w:kern w:val="28"/>
        </w:rPr>
        <w:tab/>
        <w:t>-</w:t>
      </w:r>
      <w:r w:rsidRPr="00F346C5">
        <w:rPr>
          <w:rFonts w:ascii="Aptos" w:eastAsia="Times New Roman" w:hAnsi="Aptos" w:cs="Times New Roman"/>
          <w:b/>
          <w:kern w:val="28"/>
        </w:rPr>
        <w:tab/>
        <w:t>Revenues</w:t>
      </w:r>
    </w:p>
    <w:p w14:paraId="584C46E9" w14:textId="77777777" w:rsidR="009D62EA" w:rsidRPr="00F346C5" w:rsidRDefault="009D62EA" w:rsidP="009D62EA">
      <w:pPr>
        <w:spacing w:after="240" w:line="240" w:lineRule="auto"/>
        <w:jc w:val="both"/>
        <w:rPr>
          <w:rFonts w:ascii="Aptos" w:eastAsia="Times New Roman" w:hAnsi="Aptos" w:cs="Arial"/>
        </w:rPr>
      </w:pPr>
      <w:r w:rsidRPr="00F346C5">
        <w:rPr>
          <w:rFonts w:ascii="Aptos" w:eastAsia="Times New Roman" w:hAnsi="Aptos" w:cs="Arial"/>
        </w:rPr>
        <w:t>A summary of discounts and allowances by revenue classification is presented as follows:</w:t>
      </w:r>
    </w:p>
    <w:bookmarkStart w:id="285" w:name="_MON_1843040849"/>
    <w:bookmarkEnd w:id="285"/>
    <w:p w14:paraId="5220566F" w14:textId="69253D85" w:rsidR="00A72825" w:rsidRPr="00F346C5" w:rsidRDefault="0019002A" w:rsidP="009D62EA">
      <w:pPr>
        <w:spacing w:after="240" w:line="240" w:lineRule="auto"/>
        <w:jc w:val="both"/>
        <w:rPr>
          <w:rFonts w:ascii="Aptos" w:eastAsia="Times New Roman" w:hAnsi="Aptos" w:cs="Arial"/>
        </w:rPr>
      </w:pPr>
      <w:r w:rsidRPr="00F346C5">
        <w:rPr>
          <w:rFonts w:ascii="Aptos" w:eastAsia="Times New Roman" w:hAnsi="Aptos" w:cs="Arial"/>
        </w:rPr>
        <w:object w:dxaOrig="10933" w:dyaOrig="7313" w14:anchorId="3DE6E04A">
          <v:shape id="_x0000_i1045" type="#_x0000_t75" style="width:477.75pt;height:319.5pt" o:ole="">
            <v:imagedata r:id="rId65" o:title=""/>
          </v:shape>
          <o:OLEObject Type="Embed" ProgID="Excel.Sheet.12" ShapeID="_x0000_i1045" DrawAspect="Content" ObjectID="_1843297348" r:id="rId66"/>
        </w:object>
      </w:r>
    </w:p>
    <w:p w14:paraId="71D49D30" w14:textId="77777777" w:rsidR="009D62EA" w:rsidRPr="00F346C5" w:rsidRDefault="009D62EA" w:rsidP="009D62EA">
      <w:pPr>
        <w:spacing w:after="240" w:line="240" w:lineRule="auto"/>
        <w:jc w:val="both"/>
        <w:rPr>
          <w:rFonts w:ascii="Aptos" w:hAnsi="Aptos" w:cs="Arial"/>
          <w:b/>
          <w:i/>
          <w:color w:val="0000FF"/>
        </w:rPr>
      </w:pPr>
      <w:bookmarkStart w:id="286" w:name="_MON_1220946061"/>
      <w:bookmarkStart w:id="287" w:name="_MON_1276942293"/>
      <w:bookmarkStart w:id="288" w:name="_MON_1276942372"/>
      <w:bookmarkStart w:id="289" w:name="_MON_1188275422"/>
      <w:bookmarkStart w:id="290" w:name="_MON_1276942432"/>
      <w:bookmarkStart w:id="291" w:name="_MON_1276942443"/>
      <w:bookmarkStart w:id="292" w:name="_MON_1283840792"/>
      <w:bookmarkStart w:id="293" w:name="_MON_1305633851"/>
      <w:bookmarkStart w:id="294" w:name="_MON_1372676520"/>
      <w:bookmarkStart w:id="295" w:name="_MON_1372676526"/>
      <w:bookmarkStart w:id="296" w:name="_MON_1375524753"/>
      <w:bookmarkStart w:id="297" w:name="_MON_1401869319"/>
      <w:bookmarkStart w:id="298" w:name="_MON_1188275445"/>
      <w:bookmarkStart w:id="299" w:name="_MON_1188275502"/>
      <w:bookmarkStart w:id="300" w:name="_MON_1188275562"/>
      <w:bookmarkStart w:id="301" w:name="_MON_1188287735"/>
      <w:bookmarkStart w:id="302" w:name="_MON_1220945873"/>
      <w:bookmarkStart w:id="303" w:name="_MON_1220945987"/>
      <w:bookmarkStart w:id="304" w:name="_MON_1220945999"/>
      <w:bookmarkStart w:id="305" w:name="_MON_1220946051"/>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sidRPr="00F346C5">
        <w:rPr>
          <w:rFonts w:ascii="Aptos" w:hAnsi="Aptos" w:cs="Arial"/>
          <w:b/>
          <w:i/>
          <w:color w:val="0000FF"/>
        </w:rPr>
        <w:t xml:space="preserve">[Note to Preparer: GASB Codification Section 2200.191 requires revenues to be reported by major source. The level of disaggregation of sales and services is up to the discretion of the College based on the activity of each source of revenue. If the College does </w:t>
      </w:r>
      <w:r w:rsidRPr="00F346C5">
        <w:rPr>
          <w:rFonts w:ascii="Aptos" w:hAnsi="Aptos" w:cs="Arial"/>
          <w:b/>
          <w:i/>
          <w:color w:val="0000FF"/>
          <w:u w:val="single"/>
        </w:rPr>
        <w:t>not</w:t>
      </w:r>
      <w:r w:rsidRPr="00F346C5">
        <w:rPr>
          <w:rFonts w:ascii="Aptos" w:hAnsi="Aptos" w:cs="Arial"/>
          <w:b/>
          <w:i/>
          <w:color w:val="0000FF"/>
        </w:rPr>
        <w:t xml:space="preserve"> have items </w:t>
      </w:r>
      <w:r w:rsidRPr="00F346C5">
        <w:rPr>
          <w:rFonts w:ascii="Aptos" w:hAnsi="Aptos" w:cs="Arial"/>
          <w:b/>
          <w:i/>
          <w:color w:val="0000FF"/>
        </w:rPr>
        <w:lastRenderedPageBreak/>
        <w:t>(i.e. noncapital contributions, capital contributions, etc.) that are net of eliminations, discounts, uncollectibles, or other adjustments, they can be removed from the table above.]</w:t>
      </w:r>
    </w:p>
    <w:p w14:paraId="6A43722D" w14:textId="77777777" w:rsidR="009D62EA" w:rsidRPr="00F346C5" w:rsidRDefault="009D62EA"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bookmarkStart w:id="306" w:name="_Hlk44414116"/>
      <w:r w:rsidRPr="00F346C5">
        <w:rPr>
          <w:rFonts w:ascii="Aptos" w:eastAsia="Times New Roman" w:hAnsi="Aptos" w:cs="Times New Roman"/>
          <w:b/>
          <w:kern w:val="28"/>
        </w:rPr>
        <w:t>Note 13</w:t>
      </w:r>
      <w:r w:rsidRPr="00F346C5">
        <w:rPr>
          <w:rFonts w:ascii="Aptos" w:eastAsia="Times New Roman" w:hAnsi="Aptos" w:cs="Times New Roman"/>
          <w:b/>
          <w:kern w:val="28"/>
        </w:rPr>
        <w:tab/>
        <w:t>-</w:t>
      </w:r>
      <w:r w:rsidRPr="00F346C5">
        <w:rPr>
          <w:rFonts w:ascii="Aptos" w:eastAsia="Times New Roman" w:hAnsi="Aptos" w:cs="Times New Roman"/>
          <w:b/>
          <w:kern w:val="28"/>
        </w:rPr>
        <w:tab/>
        <w:t>Operating Expenses by Function</w:t>
      </w:r>
    </w:p>
    <w:p w14:paraId="38801EBC" w14:textId="77777777" w:rsidR="009D62EA" w:rsidRPr="00F346C5" w:rsidRDefault="009D62EA" w:rsidP="009D62EA">
      <w:pPr>
        <w:spacing w:after="240" w:line="240" w:lineRule="auto"/>
        <w:jc w:val="both"/>
        <w:rPr>
          <w:rFonts w:ascii="Aptos" w:eastAsia="Times New Roman" w:hAnsi="Aptos" w:cs="Arial"/>
          <w:b/>
          <w:i/>
          <w:color w:val="0000FF"/>
        </w:rPr>
      </w:pPr>
      <w:r w:rsidRPr="00F346C5">
        <w:rPr>
          <w:rFonts w:ascii="Aptos" w:eastAsia="Times New Roman" w:hAnsi="Aptos" w:cs="Arial"/>
        </w:rPr>
        <w:t xml:space="preserve">The College’s operating expenses by functional classification are presented as follows: </w:t>
      </w:r>
      <w:r w:rsidRPr="00F346C5">
        <w:rPr>
          <w:rFonts w:ascii="Aptos" w:eastAsia="Times New Roman" w:hAnsi="Aptos" w:cs="Arial"/>
          <w:b/>
          <w:i/>
          <w:color w:val="0000FF"/>
        </w:rPr>
        <w:t>[If capital asset impairment reported on face of the statements, add column here and reflect in appropriate function.]</w:t>
      </w:r>
    </w:p>
    <w:p w14:paraId="33EA1937" w14:textId="4C3F2AD8" w:rsidR="00A72825" w:rsidRPr="00F346C5" w:rsidRDefault="00A72825" w:rsidP="009D62EA">
      <w:pPr>
        <w:spacing w:after="240" w:line="240" w:lineRule="auto"/>
        <w:jc w:val="both"/>
        <w:rPr>
          <w:rFonts w:ascii="Aptos" w:eastAsia="Times New Roman" w:hAnsi="Aptos" w:cs="Arial"/>
          <w:b/>
          <w:i/>
          <w:color w:val="0000FF"/>
        </w:rPr>
      </w:pPr>
      <w:r w:rsidRPr="00F346C5">
        <w:rPr>
          <w:rFonts w:ascii="Aptos" w:eastAsia="Times New Roman" w:hAnsi="Aptos" w:cs="Arial"/>
          <w:b/>
          <w:i/>
          <w:color w:val="0000FF"/>
        </w:rPr>
        <w:object w:dxaOrig="13190" w:dyaOrig="4355" w14:anchorId="7A6EB78C">
          <v:shape id="_x0000_i1046" type="#_x0000_t75" style="width:486pt;height:160.5pt" o:ole="">
            <v:imagedata r:id="rId67" o:title=""/>
          </v:shape>
          <o:OLEObject Type="Embed" ProgID="Excel.Sheet.12" ShapeID="_x0000_i1046" DrawAspect="Content" ObjectID="_1843297349" r:id="rId68"/>
        </w:object>
      </w:r>
    </w:p>
    <w:p w14:paraId="2627EBD7" w14:textId="2E5B816D" w:rsidR="009D62EA" w:rsidRPr="00F346C5" w:rsidRDefault="009D62EA" w:rsidP="009D62EA">
      <w:pPr>
        <w:spacing w:after="240" w:line="240" w:lineRule="auto"/>
        <w:jc w:val="center"/>
        <w:rPr>
          <w:rFonts w:ascii="Aptos" w:eastAsia="Times New Roman" w:hAnsi="Aptos" w:cs="Times New Roman"/>
        </w:rPr>
      </w:pPr>
      <w:bookmarkStart w:id="307" w:name="_1402726765"/>
      <w:bookmarkStart w:id="308" w:name="_MON_1331966714"/>
      <w:bookmarkStart w:id="309" w:name="_MON_1402210443"/>
      <w:bookmarkStart w:id="310" w:name="_MON_1402210483"/>
      <w:bookmarkStart w:id="311" w:name="_MON_1402749743"/>
      <w:bookmarkStart w:id="312" w:name="_MON_1118969161"/>
      <w:bookmarkStart w:id="313" w:name="_MON_1118969207"/>
      <w:bookmarkStart w:id="314" w:name="_MON_1119091932"/>
      <w:bookmarkStart w:id="315" w:name="_MON_1188275783"/>
      <w:bookmarkStart w:id="316" w:name="_MON_1188275911"/>
      <w:bookmarkStart w:id="317" w:name="_MON_1188288315"/>
      <w:bookmarkStart w:id="318" w:name="_MON_1220946097"/>
      <w:bookmarkEnd w:id="307"/>
      <w:bookmarkEnd w:id="308"/>
      <w:bookmarkEnd w:id="309"/>
      <w:bookmarkEnd w:id="310"/>
      <w:bookmarkEnd w:id="311"/>
      <w:bookmarkEnd w:id="312"/>
      <w:bookmarkEnd w:id="313"/>
      <w:bookmarkEnd w:id="314"/>
      <w:bookmarkEnd w:id="315"/>
      <w:bookmarkEnd w:id="316"/>
      <w:bookmarkEnd w:id="317"/>
      <w:bookmarkEnd w:id="318"/>
    </w:p>
    <w:bookmarkEnd w:id="306"/>
    <w:p w14:paraId="688623CA" w14:textId="3BC319A0" w:rsidR="009D62EA" w:rsidRPr="00F346C5" w:rsidRDefault="009D62EA"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r w:rsidRPr="00F346C5">
        <w:rPr>
          <w:rFonts w:ascii="Aptos" w:eastAsia="Times New Roman" w:hAnsi="Aptos" w:cs="Times New Roman"/>
          <w:b/>
          <w:kern w:val="28"/>
        </w:rPr>
        <w:t>Note 14</w:t>
      </w:r>
      <w:r w:rsidRPr="00F346C5">
        <w:rPr>
          <w:rFonts w:ascii="Aptos" w:eastAsia="Times New Roman" w:hAnsi="Aptos" w:cs="Times New Roman"/>
          <w:b/>
          <w:kern w:val="28"/>
        </w:rPr>
        <w:tab/>
        <w:t>-</w:t>
      </w:r>
      <w:r w:rsidRPr="00F346C5">
        <w:rPr>
          <w:rFonts w:ascii="Aptos" w:eastAsia="Times New Roman" w:hAnsi="Aptos" w:cs="Times New Roman"/>
          <w:b/>
          <w:kern w:val="28"/>
        </w:rPr>
        <w:tab/>
      </w:r>
      <w:r w:rsidR="00A72825" w:rsidRPr="00B531E4">
        <w:rPr>
          <w:rFonts w:ascii="Aptos" w:eastAsia="Times New Roman" w:hAnsi="Aptos" w:cs="Times New Roman"/>
          <w:b/>
          <w:kern w:val="28"/>
        </w:rPr>
        <w:t>Retirement</w:t>
      </w:r>
      <w:r w:rsidR="00A72825" w:rsidRPr="00F346C5">
        <w:rPr>
          <w:rFonts w:ascii="Aptos" w:eastAsia="Times New Roman" w:hAnsi="Aptos" w:cs="Times New Roman"/>
          <w:b/>
          <w:kern w:val="28"/>
        </w:rPr>
        <w:t xml:space="preserve"> </w:t>
      </w:r>
      <w:r w:rsidRPr="00F346C5">
        <w:rPr>
          <w:rFonts w:ascii="Aptos" w:eastAsia="Times New Roman" w:hAnsi="Aptos" w:cs="Times New Roman"/>
          <w:b/>
          <w:kern w:val="28"/>
        </w:rPr>
        <w:t xml:space="preserve">Plans </w:t>
      </w:r>
    </w:p>
    <w:p w14:paraId="7D17EF78" w14:textId="77777777" w:rsidR="009D62EA" w:rsidRPr="00F346C5" w:rsidRDefault="009D62EA" w:rsidP="009D62EA">
      <w:pPr>
        <w:spacing w:after="240" w:line="240" w:lineRule="auto"/>
        <w:rPr>
          <w:rFonts w:ascii="Aptos" w:eastAsia="Calibri" w:hAnsi="Aptos" w:cs="Arial"/>
          <w:b/>
        </w:rPr>
      </w:pPr>
      <w:r w:rsidRPr="00F346C5">
        <w:rPr>
          <w:rFonts w:ascii="Aptos" w:eastAsia="Calibri" w:hAnsi="Aptos" w:cs="Arial"/>
          <w:b/>
        </w:rPr>
        <w:t>Defined Benefit Plan</w:t>
      </w:r>
    </w:p>
    <w:p w14:paraId="7FA9E0DB" w14:textId="2B99084B" w:rsidR="000B4E2D" w:rsidRPr="00F346C5" w:rsidRDefault="006129E1" w:rsidP="000B4E2D">
      <w:pPr>
        <w:spacing w:after="240" w:line="240" w:lineRule="auto"/>
        <w:jc w:val="both"/>
        <w:rPr>
          <w:rFonts w:ascii="Aptos" w:eastAsia="Calibri" w:hAnsi="Aptos" w:cs="Arial"/>
        </w:rPr>
      </w:pPr>
      <w:r w:rsidRPr="00F346C5">
        <w:rPr>
          <w:rFonts w:ascii="Aptos" w:eastAsia="Calibri" w:hAnsi="Aptos" w:cs="Arial"/>
          <w:i/>
        </w:rPr>
        <w:t>Plan Administration:</w:t>
      </w:r>
      <w:r w:rsidRPr="00F346C5">
        <w:rPr>
          <w:rFonts w:ascii="Aptos" w:eastAsia="Calibri" w:hAnsi="Aptos" w:cs="Arial"/>
        </w:rPr>
        <w:t xml:space="preserve"> The </w:t>
      </w:r>
      <w:r w:rsidR="000B4E2D" w:rsidRPr="00F346C5">
        <w:rPr>
          <w:rFonts w:ascii="Aptos" w:eastAsia="Calibri" w:hAnsi="Aptos" w:cs="Arial"/>
        </w:rPr>
        <w:t>State of North Carolina administers the Teachers’ and State Employees’ Retirement System (TSERS) plan. This plan is a cost-sharing, multiple-employer, defined benefit pension plan established by the State to provide pension benefits for general employees and law enforcement officers (LEOs) of the State, general employees and LEOs of its component units, and employees of Local Education Agencies (LEAs) and charter schools not in the reporting entity. Membership is comprised of employees of the State (</w:t>
      </w:r>
      <w:r w:rsidR="00C72777" w:rsidRPr="00B531E4">
        <w:rPr>
          <w:rFonts w:ascii="Aptos" w:eastAsia="Calibri" w:hAnsi="Aptos" w:cs="Arial"/>
          <w:highlight w:val="yellow"/>
        </w:rPr>
        <w:t>State</w:t>
      </w:r>
      <w:r w:rsidR="00C72777" w:rsidRPr="00F346C5">
        <w:rPr>
          <w:rFonts w:ascii="Aptos" w:eastAsia="Calibri" w:hAnsi="Aptos" w:cs="Arial"/>
        </w:rPr>
        <w:t xml:space="preserve"> </w:t>
      </w:r>
      <w:r w:rsidR="000B4E2D" w:rsidRPr="00F346C5">
        <w:rPr>
          <w:rFonts w:ascii="Aptos" w:eastAsia="Calibri" w:hAnsi="Aptos" w:cs="Arial"/>
        </w:rPr>
        <w:t xml:space="preserve">agencies and institutions), universities, community colleges, </w:t>
      </w:r>
      <w:r w:rsidR="000B4E2D" w:rsidRPr="00B531E4">
        <w:rPr>
          <w:rFonts w:ascii="Aptos" w:eastAsia="Calibri" w:hAnsi="Aptos" w:cs="Arial"/>
        </w:rPr>
        <w:t>LEAs,</w:t>
      </w:r>
      <w:r w:rsidR="000B4E2D" w:rsidRPr="000F2C47">
        <w:rPr>
          <w:rFonts w:ascii="Aptos" w:eastAsia="Calibri" w:hAnsi="Aptos" w:cs="Arial"/>
        </w:rPr>
        <w:t xml:space="preserve"> and certain proprietary component units along with charter schools that elect to join the Retirement System.</w:t>
      </w:r>
      <w:r w:rsidR="0026127E" w:rsidRPr="000F2C47">
        <w:rPr>
          <w:rFonts w:ascii="Aptos" w:eastAsia="Calibri" w:hAnsi="Aptos" w:cs="Arial"/>
        </w:rPr>
        <w:t xml:space="preserve"> </w:t>
      </w:r>
      <w:r w:rsidR="000B4E2D" w:rsidRPr="00B531E4">
        <w:rPr>
          <w:rFonts w:ascii="Aptos" w:eastAsia="Calibri" w:hAnsi="Aptos" w:cs="Arial"/>
        </w:rPr>
        <w:t xml:space="preserve">Effective January 1, 2024, new employees hired by UNC Health Care or by certain components of East Carolina University, who </w:t>
      </w:r>
      <w:r w:rsidR="00E94018" w:rsidRPr="00A54F7F">
        <w:rPr>
          <w:rFonts w:ascii="Aptos" w:eastAsia="Calibri" w:hAnsi="Aptos" w:cs="Arial"/>
          <w:highlight w:val="yellow"/>
        </w:rPr>
        <w:t>are not law enforcement officers and</w:t>
      </w:r>
      <w:r w:rsidR="000B4E2D" w:rsidRPr="00513F26">
        <w:rPr>
          <w:rFonts w:ascii="Aptos" w:eastAsia="Calibri" w:hAnsi="Aptos" w:cs="Arial"/>
          <w:highlight w:val="yellow"/>
        </w:rPr>
        <w:t xml:space="preserve"> </w:t>
      </w:r>
      <w:r w:rsidR="00513F26" w:rsidRPr="00B531E4">
        <w:rPr>
          <w:rFonts w:ascii="Aptos" w:eastAsia="Calibri" w:hAnsi="Aptos" w:cs="Arial"/>
          <w:highlight w:val="yellow"/>
        </w:rPr>
        <w:t>were</w:t>
      </w:r>
      <w:r w:rsidR="00513F26">
        <w:rPr>
          <w:rFonts w:ascii="Aptos" w:eastAsia="Calibri" w:hAnsi="Aptos" w:cs="Arial"/>
        </w:rPr>
        <w:t xml:space="preserve"> </w:t>
      </w:r>
      <w:r w:rsidR="000B4E2D" w:rsidRPr="00B531E4">
        <w:rPr>
          <w:rFonts w:ascii="Aptos" w:eastAsia="Calibri" w:hAnsi="Aptos" w:cs="Arial"/>
        </w:rPr>
        <w:t>not actively contributing to TSERS immediately before they were hired by those entities, are not eligible to join TSERS.</w:t>
      </w:r>
      <w:r w:rsidR="000B4E2D" w:rsidRPr="00F346C5">
        <w:rPr>
          <w:rFonts w:ascii="Aptos" w:eastAsia="Calibri" w:hAnsi="Aptos" w:cs="Arial"/>
        </w:rPr>
        <w:t xml:space="preserve"> Benefit provisions are established by </w:t>
      </w:r>
      <w:r w:rsidR="0019002A" w:rsidRPr="00B20DF9">
        <w:rPr>
          <w:rFonts w:ascii="Aptos" w:eastAsia="Calibri" w:hAnsi="Aptos" w:cs="Arial"/>
          <w:highlight w:val="yellow"/>
        </w:rPr>
        <w:t>N.C.G.S. §</w:t>
      </w:r>
      <w:r w:rsidR="000B4E2D" w:rsidRPr="00F346C5">
        <w:rPr>
          <w:rFonts w:ascii="Aptos" w:eastAsia="Calibri" w:hAnsi="Aptos" w:cs="Arial"/>
        </w:rPr>
        <w:t>135-5 and may be amended only by the North Carolina General Assembly.</w:t>
      </w:r>
    </w:p>
    <w:p w14:paraId="33242EC4" w14:textId="28DFF040" w:rsidR="000B4E2D" w:rsidRPr="00F346C5" w:rsidRDefault="000B4E2D" w:rsidP="000B4E2D">
      <w:pPr>
        <w:spacing w:after="240" w:line="240" w:lineRule="auto"/>
        <w:jc w:val="both"/>
        <w:rPr>
          <w:rFonts w:ascii="Aptos" w:eastAsia="Calibri" w:hAnsi="Aptos" w:cs="Arial"/>
        </w:rPr>
      </w:pPr>
      <w:r w:rsidRPr="00F346C5">
        <w:rPr>
          <w:rFonts w:ascii="Aptos" w:eastAsia="Calibri" w:hAnsi="Aptos" w:cs="Arial"/>
          <w:i/>
        </w:rPr>
        <w:t>Benefits Provided</w:t>
      </w:r>
      <w:r w:rsidRPr="00F346C5">
        <w:rPr>
          <w:rFonts w:ascii="Aptos" w:eastAsia="Calibri" w:hAnsi="Aptos" w:cs="Arial"/>
        </w:rPr>
        <w:t xml:space="preserve">: TSERS provides retirement and survivor benefits. </w:t>
      </w:r>
      <w:r w:rsidR="00946A53" w:rsidRPr="00B72368">
        <w:rPr>
          <w:rFonts w:ascii="Aptos" w:eastAsia="Calibri" w:hAnsi="Aptos" w:cs="Arial"/>
          <w:highlight w:val="yellow"/>
        </w:rPr>
        <w:t>Unreduced retirement</w:t>
      </w:r>
      <w:r w:rsidRPr="00F346C5">
        <w:rPr>
          <w:rFonts w:ascii="Aptos" w:eastAsia="Calibri" w:hAnsi="Aptos" w:cs="Arial"/>
        </w:rPr>
        <w:t xml:space="preserve"> benefits are determined as 1.82% of the member’s average final compensation times the member’s years of creditable service. A member’s average final compensation is calculated as the average of a member’s four highest consecutive years of compensation. General employee plan members are eligible to retire with unreduced retirement benefits at age 65 with five years of membership service, at age 60 with 25 years of creditable service, or at any age with 30 years of creditable service. General employee plan members are eligible to retire with reduced retirement </w:t>
      </w:r>
      <w:r w:rsidRPr="00F346C5">
        <w:rPr>
          <w:rFonts w:ascii="Aptos" w:eastAsia="Calibri" w:hAnsi="Aptos" w:cs="Arial"/>
        </w:rPr>
        <w:lastRenderedPageBreak/>
        <w:t xml:space="preserve">benefits at age 50 with 20 years of creditable service or at age 60 with five years of membership service. Survivor benefits are available to eligible beneficiaries of general members who die while in active service or within 180 days of their last day of service and who also have either completed </w:t>
      </w:r>
      <w:r w:rsidRPr="00F346C5">
        <w:rPr>
          <w:rFonts w:ascii="Aptos" w:eastAsia="Calibri" w:hAnsi="Aptos" w:cs="Arial"/>
        </w:rPr>
        <w:br/>
        <w:t xml:space="preserve">20 years of creditable service regardless of age or have completed five years of service and have reached age 60. Eligible beneficiaries may elect to receive a monthly Survivor’s Alternate Benefit for life in lieu of the return of the member’s contributions that is generally available to beneficiaries of deceased members. The plan does not provide for automatic post-retirement benefit increases. </w:t>
      </w:r>
    </w:p>
    <w:p w14:paraId="0E22DCC3" w14:textId="055632D1" w:rsidR="000B4E2D" w:rsidRPr="00F346C5" w:rsidRDefault="000B4E2D" w:rsidP="000B4E2D">
      <w:pPr>
        <w:spacing w:after="240" w:line="240" w:lineRule="auto"/>
        <w:jc w:val="both"/>
        <w:rPr>
          <w:rFonts w:ascii="Aptos" w:eastAsia="Calibri" w:hAnsi="Aptos" w:cs="Arial"/>
        </w:rPr>
      </w:pPr>
      <w:r w:rsidRPr="00F346C5">
        <w:rPr>
          <w:rFonts w:ascii="Aptos" w:eastAsia="Calibri" w:hAnsi="Aptos" w:cs="Arial"/>
          <w:i/>
        </w:rPr>
        <w:t>Contributions:</w:t>
      </w:r>
      <w:r w:rsidRPr="00F346C5">
        <w:rPr>
          <w:rFonts w:ascii="Aptos" w:eastAsia="Calibri" w:hAnsi="Aptos" w:cs="Arial"/>
        </w:rPr>
        <w:t xml:space="preserve"> Contribution provisions are established by </w:t>
      </w:r>
      <w:r w:rsidR="0093348C" w:rsidRPr="00B20DF9">
        <w:rPr>
          <w:rFonts w:ascii="Aptos" w:eastAsia="Calibri" w:hAnsi="Aptos" w:cs="Arial"/>
          <w:highlight w:val="yellow"/>
        </w:rPr>
        <w:t>N.C.G.S. §</w:t>
      </w:r>
      <w:r w:rsidRPr="00F346C5">
        <w:rPr>
          <w:rFonts w:ascii="Aptos" w:eastAsia="Calibri" w:hAnsi="Aptos" w:cs="Arial"/>
        </w:rPr>
        <w:t xml:space="preserve">135-8 and may be amended only by the North Carolina General Assembly. Plan members are required to contribute 6% of their annual pay. The contribution rate for employers is set each year by the North Carolina General Assembly in the Appropriations Act and may not be less than the contribution rate required of plan members. The TSERS Board of Trustees establishes a funding policy from which an accrued liability rate and a normal contribution rate are developed by the consulting actuary. The sum of those two rates developed under the funding policy is the actuarially determined contribution rate (ADC). The TSERS Board of Trustees may further adopt a contribution rate policy that is higher than the ADC known as the required employer contribution to be recommended to the North Carolina General Assembly. The College’s contractually-required contribution rate for the year ended June 30, </w:t>
      </w:r>
      <w:r w:rsidR="006E0C63" w:rsidRPr="00F346C5">
        <w:rPr>
          <w:rFonts w:ascii="Aptos" w:eastAsia="Calibri" w:hAnsi="Aptos" w:cs="Arial"/>
          <w:highlight w:val="yellow"/>
        </w:rPr>
        <w:t>202</w:t>
      </w:r>
      <w:r w:rsidR="006E0C63" w:rsidRPr="00B531E4">
        <w:rPr>
          <w:rFonts w:ascii="Aptos" w:eastAsia="Calibri" w:hAnsi="Aptos" w:cs="Arial"/>
          <w:highlight w:val="yellow"/>
        </w:rPr>
        <w:t>6</w:t>
      </w:r>
      <w:r w:rsidR="006E0C63" w:rsidRPr="00F346C5">
        <w:rPr>
          <w:rFonts w:ascii="Aptos" w:eastAsia="Calibri" w:hAnsi="Aptos" w:cs="Arial"/>
        </w:rPr>
        <w:t xml:space="preserve"> </w:t>
      </w:r>
      <w:r w:rsidRPr="00F346C5">
        <w:rPr>
          <w:rFonts w:ascii="Aptos" w:eastAsia="Calibri" w:hAnsi="Aptos" w:cs="Arial"/>
        </w:rPr>
        <w:t xml:space="preserve">was </w:t>
      </w:r>
      <w:r w:rsidRPr="00F346C5">
        <w:rPr>
          <w:rFonts w:ascii="Aptos" w:eastAsia="Calibri" w:hAnsi="Aptos" w:cs="Arial"/>
          <w:highlight w:val="yellow"/>
        </w:rPr>
        <w:t>1</w:t>
      </w:r>
      <w:r w:rsidR="006E0C63">
        <w:rPr>
          <w:rFonts w:ascii="Aptos" w:eastAsia="Calibri" w:hAnsi="Aptos" w:cs="Arial"/>
          <w:highlight w:val="yellow"/>
        </w:rPr>
        <w:t>7</w:t>
      </w:r>
      <w:r w:rsidRPr="00F346C5">
        <w:rPr>
          <w:rFonts w:ascii="Aptos" w:eastAsia="Calibri" w:hAnsi="Aptos" w:cs="Arial"/>
          <w:highlight w:val="yellow"/>
        </w:rPr>
        <w:t>.</w:t>
      </w:r>
      <w:r w:rsidR="006E0C63">
        <w:rPr>
          <w:rFonts w:ascii="Aptos" w:eastAsia="Calibri" w:hAnsi="Aptos" w:cs="Arial"/>
          <w:highlight w:val="yellow"/>
        </w:rPr>
        <w:t>14</w:t>
      </w:r>
      <w:r w:rsidRPr="00F346C5">
        <w:rPr>
          <w:rFonts w:ascii="Aptos" w:eastAsia="Calibri" w:hAnsi="Aptos" w:cs="Arial"/>
        </w:rPr>
        <w:t xml:space="preserve">% of covered payroll. Plan members’ contributions to the pension plan were $_____, and the College’s contributions were $_____ for the year ended June 30, </w:t>
      </w:r>
      <w:r w:rsidRPr="00F346C5">
        <w:rPr>
          <w:rFonts w:ascii="Aptos" w:eastAsia="Calibri" w:hAnsi="Aptos" w:cs="Arial"/>
          <w:highlight w:val="yellow"/>
        </w:rPr>
        <w:t>202</w:t>
      </w:r>
      <w:r w:rsidR="006E0C63" w:rsidRPr="00B531E4">
        <w:rPr>
          <w:rFonts w:ascii="Aptos" w:eastAsia="Calibri" w:hAnsi="Aptos" w:cs="Arial"/>
          <w:highlight w:val="yellow"/>
        </w:rPr>
        <w:t>6</w:t>
      </w:r>
      <w:r w:rsidRPr="00F346C5">
        <w:rPr>
          <w:rFonts w:ascii="Aptos" w:eastAsia="Calibri" w:hAnsi="Aptos" w:cs="Arial"/>
        </w:rPr>
        <w:t>.</w:t>
      </w:r>
    </w:p>
    <w:p w14:paraId="6A7BEA39" w14:textId="22F1054B" w:rsidR="000B4E2D" w:rsidRPr="00F346C5" w:rsidRDefault="000B4E2D" w:rsidP="000B4E2D">
      <w:pPr>
        <w:spacing w:after="240" w:line="240" w:lineRule="auto"/>
        <w:jc w:val="both"/>
        <w:rPr>
          <w:rFonts w:ascii="Aptos" w:eastAsia="Calibri" w:hAnsi="Aptos" w:cs="Arial"/>
        </w:rPr>
      </w:pPr>
      <w:r w:rsidRPr="00F346C5">
        <w:rPr>
          <w:rFonts w:ascii="Aptos" w:eastAsia="Calibri" w:hAnsi="Aptos" w:cs="Arial"/>
        </w:rPr>
        <w:t xml:space="preserve">The TSERS plan’s financial information, including all information about the plan’s assets, deferred outflows of resources, liabilities, deferred inflows of resources, and fiduciary net position, is included in the State of North Carolina’s fiscal year </w:t>
      </w:r>
      <w:r w:rsidR="006E0C63" w:rsidRPr="00F346C5">
        <w:rPr>
          <w:rFonts w:ascii="Aptos" w:eastAsia="Calibri" w:hAnsi="Aptos" w:cs="Arial"/>
          <w:highlight w:val="yellow"/>
        </w:rPr>
        <w:t>202</w:t>
      </w:r>
      <w:r w:rsidR="006E0C63" w:rsidRPr="00B531E4">
        <w:rPr>
          <w:rFonts w:ascii="Aptos" w:eastAsia="Calibri" w:hAnsi="Aptos" w:cs="Arial"/>
          <w:highlight w:val="yellow"/>
        </w:rPr>
        <w:t>5</w:t>
      </w:r>
      <w:r w:rsidR="006E0C63" w:rsidRPr="00F346C5">
        <w:rPr>
          <w:rFonts w:ascii="Aptos" w:eastAsia="Calibri" w:hAnsi="Aptos" w:cs="Arial"/>
        </w:rPr>
        <w:t xml:space="preserve"> </w:t>
      </w:r>
      <w:r w:rsidRPr="00F346C5">
        <w:rPr>
          <w:rFonts w:ascii="Aptos" w:eastAsia="Calibri" w:hAnsi="Aptos" w:cs="Arial"/>
          <w:i/>
        </w:rPr>
        <w:t>Annual Comprehensive Financial Report</w:t>
      </w:r>
      <w:r w:rsidRPr="00F346C5">
        <w:rPr>
          <w:rFonts w:ascii="Aptos" w:eastAsia="Calibri" w:hAnsi="Aptos" w:cs="Arial"/>
        </w:rPr>
        <w:t xml:space="preserve">. An electronic version of this report is available on the North Carolina Office of the State Controller’s website at </w:t>
      </w:r>
      <w:hyperlink r:id="rId69" w:history="1">
        <w:r w:rsidRPr="00B531E4">
          <w:rPr>
            <w:rFonts w:ascii="Aptos" w:eastAsia="Aptos" w:hAnsi="Aptos" w:cs="Arial"/>
            <w:color w:val="467886"/>
            <w:u w:val="single"/>
          </w:rPr>
          <w:t>https://www.ncosc.gov/</w:t>
        </w:r>
      </w:hyperlink>
      <w:r w:rsidRPr="00F346C5">
        <w:rPr>
          <w:rFonts w:ascii="Aptos" w:eastAsia="Calibri" w:hAnsi="Aptos" w:cs="Arial"/>
        </w:rPr>
        <w:t xml:space="preserve"> or by calling the State Controller’s Financial Reporting Section at 919-707-0500. </w:t>
      </w:r>
    </w:p>
    <w:p w14:paraId="2ED56E31" w14:textId="77777777" w:rsidR="000B4E2D" w:rsidRPr="00F346C5" w:rsidRDefault="000B4E2D" w:rsidP="000B4E2D">
      <w:pPr>
        <w:spacing w:after="240" w:line="240" w:lineRule="auto"/>
        <w:jc w:val="both"/>
        <w:rPr>
          <w:rFonts w:ascii="Aptos" w:eastAsia="Calibri" w:hAnsi="Aptos" w:cs="Arial"/>
        </w:rPr>
      </w:pPr>
      <w:r w:rsidRPr="00F346C5">
        <w:rPr>
          <w:rFonts w:ascii="Aptos" w:eastAsia="Calibri" w:hAnsi="Aptos" w:cs="Arial"/>
          <w:i/>
        </w:rPr>
        <w:t>TSERS Basis of Accounting:</w:t>
      </w:r>
      <w:r w:rsidRPr="00F346C5">
        <w:rPr>
          <w:rFonts w:ascii="Aptos" w:eastAsia="Calibri" w:hAnsi="Aptos" w:cs="Arial"/>
        </w:rPr>
        <w:t xml:space="preserve"> The financial statements of the TSERS plan are prepared using the accrual basis of accounting. Plan member contributions are recognized in the period in which the contributions are due. Employer contributions are recognized when due and the employer has a legal requirement to provide the contributions. Benefits and refunds are recognized when due and payable in accordance with the terms of each plan. </w:t>
      </w:r>
      <w:r w:rsidRPr="00F346C5">
        <w:rPr>
          <w:rFonts w:ascii="Aptos" w:eastAsia="Times New Roman" w:hAnsi="Aptos" w:cs="Arial"/>
        </w:rPr>
        <w:t>For purposes of measuring the net pension liability, deferred outflows of resources and deferred inflows of resources related to pensions, and pension expense, information about the fiduciary net position of the TSERS plan, and additions to/deductions from the TSERS plan’s fiduciary net position have been determined on the same basis as they are reported by TSERS.</w:t>
      </w:r>
    </w:p>
    <w:p w14:paraId="4CF10D57" w14:textId="1364CC4A" w:rsidR="000B4E2D" w:rsidRPr="00F346C5" w:rsidRDefault="000B4E2D" w:rsidP="000B4E2D">
      <w:pPr>
        <w:spacing w:after="240" w:line="240" w:lineRule="auto"/>
        <w:jc w:val="both"/>
        <w:rPr>
          <w:rFonts w:ascii="Aptos" w:eastAsia="Calibri" w:hAnsi="Aptos" w:cs="Arial"/>
          <w:i/>
        </w:rPr>
      </w:pPr>
      <w:r w:rsidRPr="00F346C5">
        <w:rPr>
          <w:rFonts w:ascii="Aptos" w:eastAsia="Calibri" w:hAnsi="Aptos" w:cs="Arial"/>
          <w:i/>
        </w:rPr>
        <w:t>Methods Used to Value TSERS Investment:</w:t>
      </w:r>
      <w:r w:rsidRPr="00F346C5">
        <w:rPr>
          <w:rFonts w:ascii="Aptos" w:eastAsia="Calibri" w:hAnsi="Aptos" w:cs="Arial"/>
        </w:rPr>
        <w:t xml:space="preserve"> Pursuant to North Carolina General Statutes, the State Treasurer is the custodian and administrator of the retirement systems. The State Treasurer maintains various investment portfolios in its External Investment Pool. TSERS and other pension plans of the State of North Carolina participate in the Long-Term Investment, Fixed Income Investment, Equity Investment, Real Estate Investment, Alternative Investment, Opportunistic Fixed Income Investment, and Inflation Sensitive Investment portfolios. The Fixed Income Asset Class includes the Long-Term Investment and Fixed Income Investment portfolios. The Global Equity Asset Class includes the Equity Investment portfolio. The investment balance of each </w:t>
      </w:r>
      <w:r w:rsidRPr="00F346C5">
        <w:rPr>
          <w:rFonts w:ascii="Aptos" w:eastAsia="Calibri" w:hAnsi="Aptos" w:cs="Arial"/>
        </w:rPr>
        <w:lastRenderedPageBreak/>
        <w:t xml:space="preserve">pension trust fund represents its share of the fair value of the net position of the various portfolios within the External Investment Pool. Detailed descriptions of the methods and significant assumptions regarding investments of the State Treasurer are provided in the </w:t>
      </w:r>
      <w:r w:rsidRPr="00F346C5">
        <w:rPr>
          <w:rFonts w:ascii="Aptos" w:eastAsia="Calibri" w:hAnsi="Aptos" w:cs="Arial"/>
          <w:highlight w:val="yellow"/>
        </w:rPr>
        <w:t>202</w:t>
      </w:r>
      <w:r w:rsidR="005D0586">
        <w:rPr>
          <w:rFonts w:ascii="Aptos" w:eastAsia="Calibri" w:hAnsi="Aptos" w:cs="Arial"/>
          <w:highlight w:val="yellow"/>
        </w:rPr>
        <w:t>5</w:t>
      </w:r>
      <w:r w:rsidRPr="00F346C5">
        <w:rPr>
          <w:rFonts w:ascii="Aptos" w:eastAsia="Calibri" w:hAnsi="Aptos" w:cs="Arial"/>
        </w:rPr>
        <w:t xml:space="preserve"> </w:t>
      </w:r>
      <w:r w:rsidRPr="00F346C5">
        <w:rPr>
          <w:rFonts w:ascii="Aptos" w:eastAsia="Calibri" w:hAnsi="Aptos" w:cs="Arial"/>
          <w:i/>
        </w:rPr>
        <w:t>Annual Comprehensive Financial Report</w:t>
      </w:r>
      <w:r w:rsidRPr="00F346C5">
        <w:rPr>
          <w:rFonts w:ascii="Aptos" w:eastAsia="Calibri" w:hAnsi="Aptos" w:cs="Arial"/>
        </w:rPr>
        <w:t>.</w:t>
      </w:r>
    </w:p>
    <w:p w14:paraId="56999DA4" w14:textId="499B1917" w:rsidR="000B4E2D" w:rsidRPr="00F346C5" w:rsidRDefault="000B4E2D" w:rsidP="000B4E2D">
      <w:pPr>
        <w:spacing w:after="240" w:line="240" w:lineRule="auto"/>
        <w:jc w:val="both"/>
        <w:rPr>
          <w:rFonts w:ascii="Aptos" w:eastAsia="Calibri" w:hAnsi="Aptos" w:cs="Times New Roman"/>
        </w:rPr>
      </w:pPr>
      <w:r w:rsidRPr="00F346C5">
        <w:rPr>
          <w:rFonts w:ascii="Aptos" w:eastAsia="Calibri" w:hAnsi="Aptos" w:cs="Arial"/>
          <w:i/>
        </w:rPr>
        <w:t>Net Pension Liability:</w:t>
      </w:r>
      <w:r w:rsidRPr="00F346C5">
        <w:rPr>
          <w:rFonts w:ascii="Aptos" w:eastAsia="Calibri" w:hAnsi="Aptos" w:cs="Arial"/>
        </w:rPr>
        <w:t xml:space="preserve"> At June 30, </w:t>
      </w:r>
      <w:r w:rsidRPr="00F346C5">
        <w:rPr>
          <w:rFonts w:ascii="Aptos" w:eastAsia="Calibri" w:hAnsi="Aptos" w:cs="Arial"/>
          <w:highlight w:val="yellow"/>
        </w:rPr>
        <w:t>202</w:t>
      </w:r>
      <w:r w:rsidR="000A7EF9">
        <w:rPr>
          <w:rFonts w:ascii="Aptos" w:eastAsia="Calibri" w:hAnsi="Aptos" w:cs="Arial"/>
          <w:highlight w:val="yellow"/>
        </w:rPr>
        <w:t>6</w:t>
      </w:r>
      <w:r w:rsidRPr="00F346C5">
        <w:rPr>
          <w:rFonts w:ascii="Aptos" w:eastAsia="Calibri" w:hAnsi="Aptos" w:cs="Arial"/>
        </w:rPr>
        <w:t xml:space="preserve">, the College reported a liability of $_____ for its proportionate share of the collective net pension liability. The net pension liability was measured as of June 30, </w:t>
      </w:r>
      <w:r w:rsidRPr="00F346C5">
        <w:rPr>
          <w:rFonts w:ascii="Aptos" w:eastAsia="Calibri" w:hAnsi="Aptos" w:cs="Arial"/>
          <w:highlight w:val="yellow"/>
        </w:rPr>
        <w:t>202</w:t>
      </w:r>
      <w:r w:rsidR="00855EB0">
        <w:rPr>
          <w:rFonts w:ascii="Aptos" w:eastAsia="Calibri" w:hAnsi="Aptos" w:cs="Arial"/>
          <w:highlight w:val="yellow"/>
        </w:rPr>
        <w:t>5</w:t>
      </w:r>
      <w:r w:rsidRPr="00F346C5">
        <w:rPr>
          <w:rFonts w:ascii="Aptos" w:eastAsia="Calibri" w:hAnsi="Aptos" w:cs="Arial"/>
        </w:rPr>
        <w:t xml:space="preserve">. The total pension liability used to calculate the net pension liability was determined by an actuarial valuation as of December 31, </w:t>
      </w:r>
      <w:r w:rsidRPr="00F346C5">
        <w:rPr>
          <w:rFonts w:ascii="Aptos" w:eastAsia="Calibri" w:hAnsi="Aptos" w:cs="Arial"/>
          <w:highlight w:val="yellow"/>
        </w:rPr>
        <w:t>202</w:t>
      </w:r>
      <w:r w:rsidR="000B4E04">
        <w:rPr>
          <w:rFonts w:ascii="Aptos" w:eastAsia="Calibri" w:hAnsi="Aptos" w:cs="Arial"/>
          <w:highlight w:val="yellow"/>
        </w:rPr>
        <w:t>4</w:t>
      </w:r>
      <w:r w:rsidRPr="00F346C5">
        <w:rPr>
          <w:rFonts w:ascii="Aptos" w:eastAsia="Calibri" w:hAnsi="Aptos" w:cs="Arial"/>
        </w:rPr>
        <w:t xml:space="preserve">, and update procedures were used to roll forward the total pension liability to June 30, </w:t>
      </w:r>
      <w:r w:rsidRPr="00F346C5">
        <w:rPr>
          <w:rFonts w:ascii="Aptos" w:eastAsia="Calibri" w:hAnsi="Aptos" w:cs="Arial"/>
          <w:highlight w:val="yellow"/>
        </w:rPr>
        <w:t>202</w:t>
      </w:r>
      <w:r w:rsidR="000B4E04">
        <w:rPr>
          <w:rFonts w:ascii="Aptos" w:eastAsia="Calibri" w:hAnsi="Aptos" w:cs="Arial"/>
          <w:highlight w:val="yellow"/>
        </w:rPr>
        <w:t>5</w:t>
      </w:r>
      <w:r w:rsidRPr="00F346C5">
        <w:rPr>
          <w:rFonts w:ascii="Aptos" w:eastAsia="Calibri" w:hAnsi="Aptos" w:cs="Arial"/>
        </w:rPr>
        <w:t>. The College’s proportion of the net pension liability was based on a projection of the present value of future salaries for the</w:t>
      </w:r>
      <w:r w:rsidR="004D466C" w:rsidRPr="00F346C5">
        <w:rPr>
          <w:rFonts w:ascii="Aptos" w:eastAsia="Calibri" w:hAnsi="Aptos" w:cs="Arial"/>
        </w:rPr>
        <w:t xml:space="preserve"> </w:t>
      </w:r>
      <w:r w:rsidRPr="00F346C5">
        <w:rPr>
          <w:rFonts w:ascii="Aptos" w:eastAsia="Calibri" w:hAnsi="Aptos" w:cs="Arial"/>
        </w:rPr>
        <w:t xml:space="preserve">College relative to the projected present value of future salaries for all participating employers, actuarially-determined. As of June 30, </w:t>
      </w:r>
      <w:r w:rsidRPr="00F346C5">
        <w:rPr>
          <w:rFonts w:ascii="Aptos" w:eastAsia="Calibri" w:hAnsi="Aptos" w:cs="Arial"/>
          <w:highlight w:val="yellow"/>
        </w:rPr>
        <w:t>202</w:t>
      </w:r>
      <w:r w:rsidR="000B4E04">
        <w:rPr>
          <w:rFonts w:ascii="Aptos" w:eastAsia="Calibri" w:hAnsi="Aptos" w:cs="Arial"/>
          <w:highlight w:val="yellow"/>
        </w:rPr>
        <w:t>5</w:t>
      </w:r>
      <w:r w:rsidRPr="00F346C5">
        <w:rPr>
          <w:rFonts w:ascii="Aptos" w:eastAsia="Calibri" w:hAnsi="Aptos" w:cs="Arial"/>
        </w:rPr>
        <w:t xml:space="preserve">, the College’s proportion was ___%, which was </w:t>
      </w:r>
      <w:r w:rsidRPr="00F346C5">
        <w:rPr>
          <w:rFonts w:ascii="Aptos" w:eastAsia="Calibri" w:hAnsi="Aptos" w:cs="Arial"/>
          <w:b/>
          <w:color w:val="0000FF"/>
        </w:rPr>
        <w:t>an/a</w:t>
      </w:r>
      <w:r w:rsidRPr="00F346C5">
        <w:rPr>
          <w:rFonts w:ascii="Aptos" w:eastAsia="Calibri" w:hAnsi="Aptos" w:cs="Arial"/>
        </w:rPr>
        <w:t xml:space="preserve"> </w:t>
      </w:r>
      <w:r w:rsidRPr="00F346C5">
        <w:rPr>
          <w:rFonts w:ascii="Aptos" w:eastAsia="Calibri" w:hAnsi="Aptos" w:cs="Arial"/>
          <w:b/>
          <w:color w:val="0000FF"/>
        </w:rPr>
        <w:t>[increase/decrease]</w:t>
      </w:r>
      <w:r w:rsidRPr="00F346C5">
        <w:rPr>
          <w:rFonts w:ascii="Aptos" w:eastAsia="Calibri" w:hAnsi="Aptos" w:cs="Arial"/>
        </w:rPr>
        <w:t xml:space="preserve"> of ___ from its proportion measured as of June 30, </w:t>
      </w:r>
      <w:r w:rsidRPr="00F346C5">
        <w:rPr>
          <w:rFonts w:ascii="Aptos" w:eastAsia="Calibri" w:hAnsi="Aptos" w:cs="Arial"/>
          <w:highlight w:val="yellow"/>
        </w:rPr>
        <w:t>202</w:t>
      </w:r>
      <w:r w:rsidR="000B4E04">
        <w:rPr>
          <w:rFonts w:ascii="Aptos" w:eastAsia="Calibri" w:hAnsi="Aptos" w:cs="Arial"/>
          <w:highlight w:val="yellow"/>
        </w:rPr>
        <w:t>4</w:t>
      </w:r>
      <w:r w:rsidRPr="00F346C5">
        <w:rPr>
          <w:rFonts w:ascii="Aptos" w:eastAsia="Calibri" w:hAnsi="Aptos" w:cs="Arial"/>
        </w:rPr>
        <w:t>, which was ___%.</w:t>
      </w:r>
    </w:p>
    <w:p w14:paraId="5E419104" w14:textId="77777777" w:rsidR="000B4E2D" w:rsidRPr="00F346C5" w:rsidRDefault="000B4E2D" w:rsidP="000B4E2D">
      <w:pPr>
        <w:spacing w:after="240" w:line="240" w:lineRule="auto"/>
        <w:jc w:val="both"/>
        <w:rPr>
          <w:rFonts w:ascii="Aptos" w:eastAsia="Calibri" w:hAnsi="Aptos" w:cs="Arial"/>
          <w:color w:val="000000"/>
        </w:rPr>
      </w:pPr>
      <w:r w:rsidRPr="00F346C5">
        <w:rPr>
          <w:rFonts w:ascii="Aptos" w:eastAsia="Calibri" w:hAnsi="Aptos" w:cs="Arial"/>
          <w:i/>
          <w:color w:val="000000"/>
        </w:rPr>
        <w:t>Actuarial Assumptions</w:t>
      </w:r>
      <w:r w:rsidRPr="00F346C5">
        <w:rPr>
          <w:rFonts w:ascii="Aptos" w:eastAsia="Calibri" w:hAnsi="Aptos" w:cs="Arial"/>
          <w:color w:val="000000"/>
        </w:rPr>
        <w:t>: The following table presents the actuarial assumptions used to determine the total pension liability for the TSERS plan at the actuarial valuation date:</w:t>
      </w:r>
    </w:p>
    <w:bookmarkStart w:id="319" w:name="_Hlk199504949"/>
    <w:p w14:paraId="5D541606" w14:textId="6DE387D8" w:rsidR="004D466C" w:rsidRPr="00F346C5" w:rsidRDefault="006B71D0" w:rsidP="004D466C">
      <w:pPr>
        <w:spacing w:after="240" w:line="240" w:lineRule="auto"/>
        <w:jc w:val="center"/>
        <w:rPr>
          <w:rFonts w:ascii="Aptos" w:eastAsia="Calibri" w:hAnsi="Aptos" w:cs="Arial"/>
          <w:color w:val="000000"/>
        </w:rPr>
      </w:pPr>
      <w:r w:rsidRPr="00F346C5">
        <w:rPr>
          <w:rFonts w:ascii="Aptos" w:eastAsia="Calibri" w:hAnsi="Aptos" w:cs="Arial"/>
          <w:color w:val="000000"/>
        </w:rPr>
        <w:object w:dxaOrig="6993" w:dyaOrig="2307" w14:anchorId="31EC3037">
          <v:shape id="_x0000_i1047" type="#_x0000_t75" style="width:298.5pt;height:101.25pt" o:ole="">
            <v:imagedata r:id="rId70" o:title=""/>
          </v:shape>
          <o:OLEObject Type="Embed" ProgID="Excel.Sheet.12" ShapeID="_x0000_i1047" DrawAspect="Content" ObjectID="_1843297350" r:id="rId71"/>
        </w:object>
      </w:r>
      <w:bookmarkEnd w:id="319"/>
    </w:p>
    <w:p w14:paraId="08215D13" w14:textId="77777777" w:rsidR="000B4E2D" w:rsidRPr="00F346C5" w:rsidRDefault="000B4E2D" w:rsidP="000B4E2D">
      <w:pPr>
        <w:spacing w:after="240" w:line="240" w:lineRule="auto"/>
        <w:jc w:val="both"/>
        <w:rPr>
          <w:rFonts w:ascii="Aptos" w:eastAsia="Calibri" w:hAnsi="Aptos" w:cs="Arial"/>
        </w:rPr>
      </w:pPr>
      <w:r w:rsidRPr="00F346C5">
        <w:rPr>
          <w:rFonts w:ascii="Aptos" w:eastAsia="Calibri" w:hAnsi="Aptos" w:cs="Arial"/>
        </w:rPr>
        <w:t>TSERS currently uses mortality tables that vary by age, gender, employee group (i.e</w:t>
      </w:r>
      <w:r w:rsidRPr="006B71D0">
        <w:rPr>
          <w:rFonts w:ascii="Aptos" w:eastAsia="Calibri" w:hAnsi="Aptos" w:cs="Arial"/>
        </w:rPr>
        <w:t>.</w:t>
      </w:r>
      <w:r w:rsidRPr="00B531E4">
        <w:rPr>
          <w:rFonts w:ascii="Aptos" w:eastAsia="Calibri" w:hAnsi="Aptos" w:cs="Arial"/>
        </w:rPr>
        <w:t>,</w:t>
      </w:r>
      <w:r w:rsidRPr="006B71D0">
        <w:rPr>
          <w:rFonts w:ascii="Aptos" w:eastAsia="Calibri" w:hAnsi="Aptos" w:cs="Arial"/>
        </w:rPr>
        <w:t xml:space="preserve"> teacher, general, law enforcement officer) and health status (i.e.</w:t>
      </w:r>
      <w:r w:rsidRPr="00B531E4">
        <w:rPr>
          <w:rFonts w:ascii="Aptos" w:eastAsia="Calibri" w:hAnsi="Aptos" w:cs="Arial"/>
        </w:rPr>
        <w:t>,</w:t>
      </w:r>
      <w:r w:rsidRPr="006B71D0">
        <w:rPr>
          <w:rFonts w:ascii="Aptos" w:eastAsia="Calibri" w:hAnsi="Aptos" w:cs="Arial"/>
        </w:rPr>
        <w:t xml:space="preserve"> disabled and healthy). The</w:t>
      </w:r>
      <w:r w:rsidRPr="00F346C5">
        <w:rPr>
          <w:rFonts w:ascii="Aptos" w:eastAsia="Calibri" w:hAnsi="Aptos" w:cs="Arial"/>
        </w:rPr>
        <w:t xml:space="preserve"> current mortality rates are based on published tables and based on studies that cover significant portions of the U.S. public plan population. The mortality rates also contain a provision to reflect future mortality improvements. </w:t>
      </w:r>
    </w:p>
    <w:p w14:paraId="02FC5BAD" w14:textId="4F584344" w:rsidR="000B4E2D" w:rsidRPr="00F346C5" w:rsidRDefault="000B4E2D" w:rsidP="000B4E2D">
      <w:pPr>
        <w:spacing w:after="240" w:line="240" w:lineRule="auto"/>
        <w:jc w:val="both"/>
        <w:rPr>
          <w:rFonts w:ascii="Aptos" w:eastAsia="Calibri" w:hAnsi="Aptos" w:cs="Arial"/>
        </w:rPr>
      </w:pPr>
      <w:r w:rsidRPr="00F346C5">
        <w:rPr>
          <w:rFonts w:ascii="Aptos" w:eastAsia="Calibri" w:hAnsi="Aptos" w:cs="Arial"/>
        </w:rPr>
        <w:t xml:space="preserve">The actuarial assumptions used in the December 31, </w:t>
      </w:r>
      <w:r w:rsidR="006B71D0" w:rsidRPr="00F346C5">
        <w:rPr>
          <w:rFonts w:ascii="Aptos" w:eastAsia="Calibri" w:hAnsi="Aptos" w:cs="Arial"/>
          <w:highlight w:val="yellow"/>
        </w:rPr>
        <w:t>202</w:t>
      </w:r>
      <w:r w:rsidR="006B71D0" w:rsidRPr="00B531E4">
        <w:rPr>
          <w:rFonts w:ascii="Aptos" w:eastAsia="Calibri" w:hAnsi="Aptos" w:cs="Arial"/>
          <w:highlight w:val="yellow"/>
        </w:rPr>
        <w:t>4</w:t>
      </w:r>
      <w:r w:rsidR="006B71D0" w:rsidRPr="00F346C5">
        <w:rPr>
          <w:rFonts w:ascii="Aptos" w:eastAsia="Calibri" w:hAnsi="Aptos" w:cs="Arial"/>
        </w:rPr>
        <w:t xml:space="preserve"> </w:t>
      </w:r>
      <w:r w:rsidRPr="00F346C5">
        <w:rPr>
          <w:rFonts w:ascii="Aptos" w:eastAsia="Calibri" w:hAnsi="Aptos" w:cs="Arial"/>
        </w:rPr>
        <w:t>valuation were based on the results of an actuarial experience review for the period January 1, 2015 through December 31, 2019.</w:t>
      </w:r>
    </w:p>
    <w:p w14:paraId="2655B10C" w14:textId="50F96095" w:rsidR="000B4E2D" w:rsidRPr="00F346C5" w:rsidRDefault="000B4E2D" w:rsidP="000B4E2D">
      <w:pPr>
        <w:spacing w:after="240" w:line="240" w:lineRule="auto"/>
        <w:jc w:val="both"/>
        <w:rPr>
          <w:rFonts w:ascii="Aptos" w:eastAsia="Calibri" w:hAnsi="Aptos" w:cs="Arial"/>
        </w:rPr>
      </w:pPr>
      <w:r w:rsidRPr="00F346C5">
        <w:rPr>
          <w:rFonts w:ascii="Aptos" w:eastAsia="Calibri" w:hAnsi="Aptos" w:cs="Arial"/>
        </w:rPr>
        <w:t xml:space="preserve">Future ad hoc cost-of-living adjustment amounts are not considered to be substantively automatic and are therefore not included in the measurement. The projected long-term investment returns and inflation assumptions are developed through review of current and historical capital markets data, sell-side investment research, consultant whitepapers, and historical performance of investment strategies. Fixed income return projections reflect current yields across the U.S. Treasury yield curve and market expectations of forward yields projected and interpolated for multiple tenors and over multiple year horizons. Global public equity return projections are established through analysis of the equity risk premium and the fixed income return projections. Other asset categories and strategies’ return projections reflect the foregoing and historical data analysis. These projections are combined to produce the long-term expected rate of return by weighting the expected future real rates of return by the target asset allocation percentage and by adding expected inflation. Best estimates of arithmetic real rates of return for </w:t>
      </w:r>
      <w:r w:rsidRPr="00F346C5">
        <w:rPr>
          <w:rFonts w:ascii="Aptos" w:eastAsia="Calibri" w:hAnsi="Aptos" w:cs="Arial"/>
        </w:rPr>
        <w:lastRenderedPageBreak/>
        <w:t xml:space="preserve">each major asset class included in the pension plan’s target asset allocation as of June 30, </w:t>
      </w:r>
      <w:r w:rsidR="006B71D0" w:rsidRPr="00F346C5">
        <w:rPr>
          <w:rFonts w:ascii="Aptos" w:eastAsia="Calibri" w:hAnsi="Aptos" w:cs="Arial"/>
          <w:highlight w:val="yellow"/>
        </w:rPr>
        <w:t>202</w:t>
      </w:r>
      <w:r w:rsidR="006B71D0" w:rsidRPr="00B531E4">
        <w:rPr>
          <w:rFonts w:ascii="Aptos" w:eastAsia="Calibri" w:hAnsi="Aptos" w:cs="Arial"/>
          <w:highlight w:val="yellow"/>
        </w:rPr>
        <w:t>5</w:t>
      </w:r>
      <w:r w:rsidR="006B71D0" w:rsidRPr="00F346C5">
        <w:rPr>
          <w:rFonts w:ascii="Aptos" w:eastAsia="Calibri" w:hAnsi="Aptos" w:cs="Arial"/>
        </w:rPr>
        <w:t xml:space="preserve"> </w:t>
      </w:r>
      <w:r w:rsidRPr="00F346C5">
        <w:rPr>
          <w:rFonts w:ascii="Aptos" w:eastAsia="Calibri" w:hAnsi="Aptos" w:cs="Arial"/>
        </w:rPr>
        <w:t>(the measurement date) are summarized in the following table:</w:t>
      </w:r>
    </w:p>
    <w:bookmarkStart w:id="320" w:name="_Hlk199504964"/>
    <w:bookmarkStart w:id="321" w:name="_MON_1810046446"/>
    <w:bookmarkEnd w:id="321"/>
    <w:p w14:paraId="4075F1DA" w14:textId="69A95BD0" w:rsidR="000B4E2D" w:rsidRPr="00F346C5" w:rsidRDefault="00AA54B0" w:rsidP="000B4E2D">
      <w:pPr>
        <w:spacing w:after="240" w:line="240" w:lineRule="auto"/>
        <w:jc w:val="center"/>
        <w:rPr>
          <w:rFonts w:ascii="Aptos" w:eastAsia="Calibri" w:hAnsi="Aptos" w:cs="Times New Roman"/>
        </w:rPr>
      </w:pPr>
      <w:r w:rsidRPr="00F346C5">
        <w:rPr>
          <w:rFonts w:ascii="Aptos" w:eastAsia="Calibri" w:hAnsi="Aptos" w:cs="Times New Roman"/>
        </w:rPr>
        <w:object w:dxaOrig="5539" w:dyaOrig="2921" w14:anchorId="0E80D5E2">
          <v:shape id="_x0000_i1048" type="#_x0000_t75" style="width:235.5pt;height:124.5pt" o:ole="">
            <v:imagedata r:id="rId72" o:title=""/>
          </v:shape>
          <o:OLEObject Type="Embed" ProgID="Excel.Sheet.12" ShapeID="_x0000_i1048" DrawAspect="Content" ObjectID="_1843297351" r:id="rId73"/>
        </w:object>
      </w:r>
      <w:bookmarkEnd w:id="320"/>
    </w:p>
    <w:p w14:paraId="07CC1689" w14:textId="76BCB18E" w:rsidR="000B4E2D" w:rsidRPr="00F346C5" w:rsidRDefault="000B4E2D" w:rsidP="000B4E2D">
      <w:pPr>
        <w:spacing w:after="240" w:line="240" w:lineRule="auto"/>
        <w:jc w:val="both"/>
        <w:rPr>
          <w:rFonts w:ascii="Aptos" w:eastAsia="Calibri" w:hAnsi="Aptos" w:cs="Arial"/>
        </w:rPr>
      </w:pPr>
      <w:r w:rsidRPr="00F346C5">
        <w:rPr>
          <w:rFonts w:ascii="Aptos" w:eastAsia="Calibri" w:hAnsi="Aptos" w:cs="Arial"/>
        </w:rPr>
        <w:t xml:space="preserve">The information in the preceding table is based on 30-year expectations developed with an investment consulting firm. The long-term nominal rates of return underlying the real rates of return are arithmetic annual figures. The real rates of return are calculated from nominal rates by multiplicatively subtracting a long-term inflation assumption of </w:t>
      </w:r>
      <w:r w:rsidRPr="00F346C5">
        <w:rPr>
          <w:rFonts w:ascii="Aptos" w:eastAsia="Calibri" w:hAnsi="Aptos" w:cs="Arial"/>
          <w:highlight w:val="yellow"/>
        </w:rPr>
        <w:t>2.38</w:t>
      </w:r>
      <w:r w:rsidRPr="00F346C5">
        <w:rPr>
          <w:rFonts w:ascii="Aptos" w:eastAsia="Calibri" w:hAnsi="Aptos" w:cs="Arial"/>
        </w:rPr>
        <w:t xml:space="preserve">%. Return projections do not include any excess return expectations over benchmark averages </w:t>
      </w:r>
      <w:r w:rsidRPr="00B531E4">
        <w:rPr>
          <w:rFonts w:ascii="Aptos" w:eastAsia="Calibri" w:hAnsi="Aptos" w:cs="Arial"/>
        </w:rPr>
        <w:t>for public markets</w:t>
      </w:r>
      <w:r w:rsidRPr="00F346C5">
        <w:rPr>
          <w:rFonts w:ascii="Aptos" w:eastAsia="Calibri" w:hAnsi="Aptos" w:cs="Arial"/>
        </w:rPr>
        <w:t xml:space="preserve">. All rates of return and inflation are </w:t>
      </w:r>
      <w:r w:rsidRPr="00B531E4">
        <w:rPr>
          <w:rFonts w:ascii="Aptos" w:eastAsia="Calibri" w:hAnsi="Aptos" w:cs="Arial"/>
        </w:rPr>
        <w:t>annual amounts</w:t>
      </w:r>
      <w:r w:rsidRPr="00F346C5">
        <w:rPr>
          <w:rFonts w:ascii="Aptos" w:eastAsia="Calibri" w:hAnsi="Aptos" w:cs="Arial"/>
        </w:rPr>
        <w:t xml:space="preserve">. The long-term expected real rate of return for the Bond Index Investment Pool as of June 30, </w:t>
      </w:r>
      <w:r w:rsidR="00C9490B" w:rsidRPr="00F346C5">
        <w:rPr>
          <w:rFonts w:ascii="Aptos" w:eastAsia="Calibri" w:hAnsi="Aptos" w:cs="Arial"/>
          <w:highlight w:val="yellow"/>
        </w:rPr>
        <w:t>202</w:t>
      </w:r>
      <w:r w:rsidR="00C9490B" w:rsidRPr="00B531E4">
        <w:rPr>
          <w:rFonts w:ascii="Aptos" w:eastAsia="Calibri" w:hAnsi="Aptos" w:cs="Arial"/>
          <w:highlight w:val="yellow"/>
        </w:rPr>
        <w:t>5</w:t>
      </w:r>
      <w:r w:rsidR="00C9490B" w:rsidRPr="00F346C5">
        <w:rPr>
          <w:rFonts w:ascii="Aptos" w:eastAsia="Calibri" w:hAnsi="Aptos" w:cs="Arial"/>
        </w:rPr>
        <w:t xml:space="preserve"> </w:t>
      </w:r>
      <w:r w:rsidRPr="00F346C5">
        <w:rPr>
          <w:rFonts w:ascii="Aptos" w:eastAsia="Calibri" w:hAnsi="Aptos" w:cs="Arial"/>
        </w:rPr>
        <w:t xml:space="preserve">is </w:t>
      </w:r>
      <w:r w:rsidRPr="00F346C5">
        <w:rPr>
          <w:rFonts w:ascii="Aptos" w:eastAsia="Calibri" w:hAnsi="Aptos" w:cs="Arial"/>
          <w:highlight w:val="yellow"/>
        </w:rPr>
        <w:t>2.</w:t>
      </w:r>
      <w:r w:rsidR="00AA54B0" w:rsidRPr="00B531E4">
        <w:rPr>
          <w:rFonts w:ascii="Aptos" w:eastAsia="Calibri" w:hAnsi="Aptos" w:cs="Arial"/>
          <w:highlight w:val="yellow"/>
        </w:rPr>
        <w:t>53</w:t>
      </w:r>
      <w:r w:rsidRPr="00F346C5">
        <w:rPr>
          <w:rFonts w:ascii="Aptos" w:eastAsia="Calibri" w:hAnsi="Aptos" w:cs="Arial"/>
        </w:rPr>
        <w:t>%.</w:t>
      </w:r>
    </w:p>
    <w:p w14:paraId="3B892D2F" w14:textId="246761DB" w:rsidR="000B4E2D" w:rsidRPr="00F346C5" w:rsidRDefault="000B4E2D" w:rsidP="000B4E2D">
      <w:pPr>
        <w:spacing w:after="240" w:line="240" w:lineRule="auto"/>
        <w:jc w:val="both"/>
        <w:rPr>
          <w:rFonts w:ascii="Aptos" w:eastAsia="Calibri" w:hAnsi="Aptos" w:cs="Arial"/>
        </w:rPr>
      </w:pPr>
      <w:r w:rsidRPr="00F346C5">
        <w:rPr>
          <w:rFonts w:ascii="Aptos" w:eastAsia="Calibri" w:hAnsi="Aptos" w:cs="Arial"/>
          <w:i/>
        </w:rPr>
        <w:t>Discount Rate:</w:t>
      </w:r>
      <w:r w:rsidRPr="00F346C5">
        <w:rPr>
          <w:rFonts w:ascii="Aptos" w:eastAsia="Calibri" w:hAnsi="Aptos" w:cs="Arial"/>
        </w:rPr>
        <w:t xml:space="preserve"> The discount rate used to measure the total pension liability was 6.5% for the December 31, </w:t>
      </w:r>
      <w:r w:rsidR="00C9490B" w:rsidRPr="00F346C5">
        <w:rPr>
          <w:rFonts w:ascii="Aptos" w:eastAsia="Calibri" w:hAnsi="Aptos" w:cs="Arial"/>
          <w:highlight w:val="yellow"/>
        </w:rPr>
        <w:t>202</w:t>
      </w:r>
      <w:r w:rsidR="00C9490B" w:rsidRPr="00B531E4">
        <w:rPr>
          <w:rFonts w:ascii="Aptos" w:eastAsia="Calibri" w:hAnsi="Aptos" w:cs="Arial"/>
          <w:highlight w:val="yellow"/>
        </w:rPr>
        <w:t>4</w:t>
      </w:r>
      <w:r w:rsidR="00C9490B" w:rsidRPr="00F346C5">
        <w:rPr>
          <w:rFonts w:ascii="Aptos" w:eastAsia="Calibri" w:hAnsi="Aptos" w:cs="Arial"/>
        </w:rPr>
        <w:t xml:space="preserve"> </w:t>
      </w:r>
      <w:r w:rsidRPr="00F346C5">
        <w:rPr>
          <w:rFonts w:ascii="Aptos" w:eastAsia="Calibri" w:hAnsi="Aptos" w:cs="Arial"/>
        </w:rPr>
        <w:t xml:space="preserve">valuation. The discount rate is in line with the long-term nominal expected return on pension plan investments. The calculation of the net pension liability is a present value calculation of the future net pension payments. These net pension payments assume that contributions from plan members will be made at the current statutory contribution rate and that contributions from employers will be made at the contractually required rates, actuarially determined. Based on those assumptions, the pension plan’s fiduciary net position was projected to be available to make all projected future benefit payments of the current plan members. Therefore, the long-term expected rate of return on pension plan investments was applied to all periods of projected benefit payments to determine the total pension liability. </w:t>
      </w:r>
    </w:p>
    <w:p w14:paraId="18972C62" w14:textId="2D21DF08" w:rsidR="000B4E2D" w:rsidRPr="00F346C5" w:rsidRDefault="000B4E2D" w:rsidP="000B4E2D">
      <w:pPr>
        <w:spacing w:after="240" w:line="240" w:lineRule="auto"/>
        <w:jc w:val="both"/>
        <w:rPr>
          <w:rFonts w:ascii="Aptos" w:eastAsia="Calibri" w:hAnsi="Aptos" w:cs="Arial"/>
        </w:rPr>
      </w:pPr>
      <w:r w:rsidRPr="00F346C5">
        <w:rPr>
          <w:rFonts w:ascii="Aptos" w:eastAsia="Calibri" w:hAnsi="Aptos" w:cs="Arial"/>
          <w:i/>
        </w:rPr>
        <w:t xml:space="preserve">Sensitivity of the Net Pension Liability to Changes in the Discount Rate: </w:t>
      </w:r>
      <w:r w:rsidRPr="00F346C5">
        <w:rPr>
          <w:rFonts w:ascii="Aptos" w:eastAsia="Calibri" w:hAnsi="Aptos" w:cs="Arial"/>
        </w:rPr>
        <w:t xml:space="preserve">The following presents the net pension liability of the plan at June 30, </w:t>
      </w:r>
      <w:r w:rsidRPr="00F346C5">
        <w:rPr>
          <w:rFonts w:ascii="Aptos" w:eastAsia="Calibri" w:hAnsi="Aptos" w:cs="Arial"/>
          <w:highlight w:val="yellow"/>
        </w:rPr>
        <w:t>202</w:t>
      </w:r>
      <w:r w:rsidR="000E316A">
        <w:rPr>
          <w:rFonts w:ascii="Aptos" w:eastAsia="Calibri" w:hAnsi="Aptos" w:cs="Arial"/>
          <w:highlight w:val="yellow"/>
        </w:rPr>
        <w:t>5</w:t>
      </w:r>
      <w:r w:rsidRPr="00F346C5">
        <w:rPr>
          <w:rFonts w:ascii="Aptos" w:eastAsia="Calibri" w:hAnsi="Aptos" w:cs="Arial"/>
        </w:rPr>
        <w:t xml:space="preserve"> calculated using the discount rate of 6.5%, as well as what the net pension liability would be if it were calculated using a discount rate that is 1-percentage-point lower (5.5%) or 1-percentage-point higher (7.5%) than the current rate:</w:t>
      </w:r>
    </w:p>
    <w:bookmarkStart w:id="322" w:name="_Hlk199504973"/>
    <w:bookmarkStart w:id="323" w:name="_MON_1810046471"/>
    <w:bookmarkEnd w:id="323"/>
    <w:p w14:paraId="7A8E69F0" w14:textId="09738720" w:rsidR="000B4E2D" w:rsidRPr="00F346C5" w:rsidRDefault="004D466C" w:rsidP="000B4E2D">
      <w:pPr>
        <w:spacing w:after="240" w:line="240" w:lineRule="auto"/>
        <w:jc w:val="center"/>
        <w:rPr>
          <w:rFonts w:ascii="Aptos" w:eastAsia="Calibri" w:hAnsi="Aptos" w:cs="Times New Roman"/>
        </w:rPr>
      </w:pPr>
      <w:r w:rsidRPr="00F346C5">
        <w:rPr>
          <w:rFonts w:ascii="Aptos" w:eastAsia="Calibri" w:hAnsi="Aptos" w:cs="Arial"/>
          <w:i/>
        </w:rPr>
        <w:object w:dxaOrig="5521" w:dyaOrig="1708" w14:anchorId="6FEB319B">
          <v:shape id="_x0000_i1049" type="#_x0000_t75" style="width:244.5pt;height:75.75pt" o:ole="">
            <v:imagedata r:id="rId74" o:title=""/>
          </v:shape>
          <o:OLEObject Type="Embed" ProgID="Excel.Sheet.12" ShapeID="_x0000_i1049" DrawAspect="Content" ObjectID="_1843297352" r:id="rId75"/>
        </w:object>
      </w:r>
      <w:bookmarkEnd w:id="322"/>
    </w:p>
    <w:p w14:paraId="4483212F" w14:textId="57BF9EA0" w:rsidR="000B4E2D" w:rsidRPr="00F346C5" w:rsidRDefault="000B4E2D" w:rsidP="000B4E2D">
      <w:pPr>
        <w:spacing w:after="240" w:line="240" w:lineRule="auto"/>
        <w:jc w:val="both"/>
        <w:rPr>
          <w:rFonts w:ascii="Aptos" w:eastAsia="Calibri" w:hAnsi="Aptos" w:cs="Arial"/>
        </w:rPr>
      </w:pPr>
      <w:r w:rsidRPr="00F346C5">
        <w:rPr>
          <w:rFonts w:ascii="Aptos" w:eastAsia="Calibri" w:hAnsi="Aptos" w:cs="Arial"/>
          <w:i/>
        </w:rPr>
        <w:t xml:space="preserve">Deferred Outflows of Resources and Deferred Inflows of Resources Related to Pensions: </w:t>
      </w:r>
      <w:r w:rsidRPr="00F346C5">
        <w:rPr>
          <w:rFonts w:ascii="Aptos" w:eastAsia="Calibri" w:hAnsi="Aptos" w:cs="Arial"/>
        </w:rPr>
        <w:t xml:space="preserve">For the year ended June 30, </w:t>
      </w:r>
      <w:r w:rsidRPr="00F346C5">
        <w:rPr>
          <w:rFonts w:ascii="Aptos" w:eastAsia="Calibri" w:hAnsi="Aptos" w:cs="Arial"/>
          <w:highlight w:val="yellow"/>
        </w:rPr>
        <w:t>202</w:t>
      </w:r>
      <w:r w:rsidR="000E316A">
        <w:rPr>
          <w:rFonts w:ascii="Aptos" w:eastAsia="Calibri" w:hAnsi="Aptos" w:cs="Arial"/>
          <w:highlight w:val="yellow"/>
        </w:rPr>
        <w:t>6</w:t>
      </w:r>
      <w:r w:rsidRPr="00F346C5">
        <w:rPr>
          <w:rFonts w:ascii="Aptos" w:eastAsia="Calibri" w:hAnsi="Aptos" w:cs="Arial"/>
        </w:rPr>
        <w:t xml:space="preserve">, the College recognized pension expense of $______. At </w:t>
      </w:r>
      <w:r w:rsidRPr="00F346C5">
        <w:rPr>
          <w:rFonts w:ascii="Aptos" w:eastAsia="Calibri" w:hAnsi="Aptos" w:cs="Arial"/>
        </w:rPr>
        <w:br/>
        <w:t xml:space="preserve">June 30, </w:t>
      </w:r>
      <w:r w:rsidRPr="00F346C5">
        <w:rPr>
          <w:rFonts w:ascii="Aptos" w:eastAsia="Calibri" w:hAnsi="Aptos" w:cs="Arial"/>
          <w:highlight w:val="yellow"/>
        </w:rPr>
        <w:t>202</w:t>
      </w:r>
      <w:r w:rsidR="000E316A">
        <w:rPr>
          <w:rFonts w:ascii="Aptos" w:eastAsia="Calibri" w:hAnsi="Aptos" w:cs="Arial"/>
          <w:highlight w:val="yellow"/>
        </w:rPr>
        <w:t>6</w:t>
      </w:r>
      <w:r w:rsidRPr="00F346C5">
        <w:rPr>
          <w:rFonts w:ascii="Aptos" w:eastAsia="Calibri" w:hAnsi="Aptos" w:cs="Arial"/>
        </w:rPr>
        <w:t xml:space="preserve">, the College reported deferred outflows of resources and deferred inflows of resources related to TSERS from the following sources: </w:t>
      </w:r>
    </w:p>
    <w:bookmarkStart w:id="324" w:name="_1808713753"/>
    <w:bookmarkStart w:id="325" w:name="_Hlk199504986"/>
    <w:bookmarkEnd w:id="324"/>
    <w:bookmarkStart w:id="326" w:name="_MON_1779704215"/>
    <w:bookmarkEnd w:id="326"/>
    <w:p w14:paraId="759CF1CC" w14:textId="7A36F692" w:rsidR="000B4E2D" w:rsidRPr="00F346C5" w:rsidRDefault="004D466C" w:rsidP="000B4E2D">
      <w:pPr>
        <w:spacing w:after="240" w:line="240" w:lineRule="auto"/>
        <w:jc w:val="center"/>
        <w:rPr>
          <w:rFonts w:ascii="Aptos" w:eastAsia="Calibri" w:hAnsi="Aptos" w:cs="Times New Roman"/>
        </w:rPr>
      </w:pPr>
      <w:r w:rsidRPr="00F346C5">
        <w:rPr>
          <w:rFonts w:ascii="Aptos" w:eastAsia="Calibri" w:hAnsi="Aptos" w:cs="Times New Roman"/>
        </w:rPr>
        <w:object w:dxaOrig="10451" w:dyaOrig="5106" w14:anchorId="4F918E39">
          <v:shape id="_x0000_i1050" type="#_x0000_t75" style="width:430.5pt;height:210pt" o:ole="">
            <v:imagedata r:id="rId76" o:title=""/>
          </v:shape>
          <o:OLEObject Type="Embed" ProgID="Excel.Sheet.12" ShapeID="_x0000_i1050" DrawAspect="Content" ObjectID="_1843297353" r:id="rId77"/>
        </w:object>
      </w:r>
      <w:bookmarkEnd w:id="325"/>
    </w:p>
    <w:p w14:paraId="20F50444" w14:textId="6D354C3E" w:rsidR="000B4E2D" w:rsidRPr="00F346C5" w:rsidRDefault="000B4E2D" w:rsidP="000B4E2D">
      <w:pPr>
        <w:spacing w:after="240" w:line="240" w:lineRule="auto"/>
        <w:jc w:val="both"/>
        <w:rPr>
          <w:rFonts w:ascii="Aptos" w:eastAsia="Times New Roman" w:hAnsi="Aptos" w:cs="Arial"/>
        </w:rPr>
      </w:pPr>
      <w:r w:rsidRPr="00F346C5">
        <w:rPr>
          <w:rFonts w:ascii="Aptos" w:eastAsia="Times New Roman" w:hAnsi="Aptos" w:cs="Arial"/>
        </w:rPr>
        <w:t>The amount reported as deferred outflows of resources related to contributions subsequent to the measurement date will be recognized as a reduction of the net pension liability in the fiscal year ending</w:t>
      </w:r>
      <w:r w:rsidRPr="00F346C5">
        <w:rPr>
          <w:rFonts w:ascii="Aptos" w:eastAsia="Times New Roman" w:hAnsi="Aptos" w:cs="Arial"/>
          <w:color w:val="FF0000"/>
        </w:rPr>
        <w:t xml:space="preserve"> </w:t>
      </w:r>
      <w:r w:rsidRPr="00F346C5">
        <w:rPr>
          <w:rFonts w:ascii="Aptos" w:eastAsia="Times New Roman" w:hAnsi="Aptos" w:cs="Arial"/>
        </w:rPr>
        <w:t xml:space="preserve">June 30, </w:t>
      </w:r>
      <w:r w:rsidRPr="00F346C5">
        <w:rPr>
          <w:rFonts w:ascii="Aptos" w:eastAsia="Times New Roman" w:hAnsi="Aptos" w:cs="Arial"/>
          <w:highlight w:val="yellow"/>
        </w:rPr>
        <w:t>202</w:t>
      </w:r>
      <w:r w:rsidR="007E1664">
        <w:rPr>
          <w:rFonts w:ascii="Aptos" w:eastAsia="Times New Roman" w:hAnsi="Aptos" w:cs="Arial"/>
          <w:highlight w:val="yellow"/>
        </w:rPr>
        <w:t>7</w:t>
      </w:r>
      <w:r w:rsidRPr="00F346C5">
        <w:rPr>
          <w:rFonts w:ascii="Aptos" w:eastAsia="Times New Roman" w:hAnsi="Aptos" w:cs="Arial"/>
        </w:rPr>
        <w:t xml:space="preserve">. Other amounts reported as deferred outflows of resources and deferred inflows of resources related to TSERS will be recognized as pension expense as follows: </w:t>
      </w:r>
    </w:p>
    <w:bookmarkStart w:id="327" w:name="_Hlk199504992"/>
    <w:bookmarkStart w:id="328" w:name="_MON_1838277192"/>
    <w:bookmarkEnd w:id="328"/>
    <w:p w14:paraId="15584C06" w14:textId="30BAEAD9" w:rsidR="004D466C" w:rsidRPr="00F346C5" w:rsidRDefault="00B81D3C" w:rsidP="004D466C">
      <w:pPr>
        <w:spacing w:after="240" w:line="240" w:lineRule="auto"/>
        <w:jc w:val="center"/>
        <w:rPr>
          <w:rFonts w:ascii="Aptos" w:eastAsia="Times New Roman" w:hAnsi="Aptos" w:cs="Arial"/>
        </w:rPr>
      </w:pPr>
      <w:r>
        <w:rPr>
          <w:rFonts w:ascii="Aptos" w:eastAsia="Times New Roman" w:hAnsi="Aptos" w:cs="Arial"/>
        </w:rPr>
        <w:object w:dxaOrig="5423" w:dyaOrig="4781" w14:anchorId="59A81550">
          <v:shape id="_x0000_i1051" type="#_x0000_t75" style="width:265.5pt;height:233.25pt" o:ole="">
            <v:imagedata r:id="rId78" o:title=""/>
          </v:shape>
          <o:OLEObject Type="Embed" ProgID="Excel.Sheet.8" ShapeID="_x0000_i1051" DrawAspect="Content" ObjectID="_1843297354" r:id="rId79"/>
        </w:object>
      </w:r>
      <w:bookmarkEnd w:id="327"/>
    </w:p>
    <w:p w14:paraId="16A73F33" w14:textId="1DDE2F85" w:rsidR="009D62EA" w:rsidRPr="00F346C5" w:rsidRDefault="009D62EA"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r w:rsidRPr="00F346C5">
        <w:rPr>
          <w:rFonts w:ascii="Aptos" w:eastAsia="Times New Roman" w:hAnsi="Aptos" w:cs="Times New Roman"/>
          <w:b/>
          <w:kern w:val="28"/>
        </w:rPr>
        <w:t>Note 15</w:t>
      </w:r>
      <w:r w:rsidRPr="00F346C5">
        <w:rPr>
          <w:rFonts w:ascii="Aptos" w:eastAsia="Times New Roman" w:hAnsi="Aptos" w:cs="Times New Roman"/>
          <w:b/>
          <w:kern w:val="28"/>
        </w:rPr>
        <w:tab/>
        <w:t>-</w:t>
      </w:r>
      <w:r w:rsidRPr="00F346C5">
        <w:rPr>
          <w:rFonts w:ascii="Aptos" w:eastAsia="Times New Roman" w:hAnsi="Aptos" w:cs="Times New Roman"/>
          <w:b/>
          <w:kern w:val="28"/>
        </w:rPr>
        <w:tab/>
        <w:t>Other Postemployment Benefits</w:t>
      </w:r>
    </w:p>
    <w:p w14:paraId="1A541E22" w14:textId="0CD786A5" w:rsidR="00FD1925" w:rsidRPr="00F346C5" w:rsidRDefault="006129E1" w:rsidP="00C715C4">
      <w:pPr>
        <w:tabs>
          <w:tab w:val="left" w:pos="9090"/>
        </w:tabs>
        <w:spacing w:after="240" w:line="240" w:lineRule="auto"/>
        <w:jc w:val="both"/>
        <w:rPr>
          <w:rFonts w:ascii="Aptos" w:eastAsia="Times New Roman" w:hAnsi="Aptos" w:cs="Arial"/>
        </w:rPr>
      </w:pPr>
      <w:r w:rsidRPr="00F346C5">
        <w:rPr>
          <w:rFonts w:ascii="Aptos" w:eastAsia="Times New Roman" w:hAnsi="Aptos" w:cs="Arial"/>
        </w:rPr>
        <w:t xml:space="preserve">The </w:t>
      </w:r>
      <w:r w:rsidR="00FD1925" w:rsidRPr="00F346C5">
        <w:rPr>
          <w:rFonts w:ascii="Aptos" w:eastAsia="Times New Roman" w:hAnsi="Aptos" w:cs="Arial"/>
        </w:rPr>
        <w:t xml:space="preserve">College participates in two postemployment benefit plans, the Retiree Health Benefit Fund and the Disability Income Plan of North Carolina, that are administered by the State of North Carolina as pension and other employee benefit trust funds. Each plan’s financial information, including all information about the plans’ assets, deferred outflows of resources, liabilities, deferred inflows of resources, and fiduciary net position, is included in the State of North Carolina’s fiscal year </w:t>
      </w:r>
      <w:r w:rsidR="007E1664" w:rsidRPr="00F346C5">
        <w:rPr>
          <w:rFonts w:ascii="Aptos" w:eastAsia="Times New Roman" w:hAnsi="Aptos" w:cs="Arial"/>
          <w:highlight w:val="yellow"/>
        </w:rPr>
        <w:t>202</w:t>
      </w:r>
      <w:r w:rsidR="007E1664" w:rsidRPr="00B531E4">
        <w:rPr>
          <w:rFonts w:ascii="Aptos" w:eastAsia="Times New Roman" w:hAnsi="Aptos" w:cs="Arial"/>
          <w:highlight w:val="yellow"/>
        </w:rPr>
        <w:t>5</w:t>
      </w:r>
      <w:r w:rsidR="007E1664" w:rsidRPr="00F346C5">
        <w:rPr>
          <w:rFonts w:ascii="Aptos" w:eastAsia="Times New Roman" w:hAnsi="Aptos" w:cs="Arial"/>
          <w:i/>
        </w:rPr>
        <w:t xml:space="preserve"> </w:t>
      </w:r>
      <w:r w:rsidR="00FD1925" w:rsidRPr="00F346C5">
        <w:rPr>
          <w:rFonts w:ascii="Aptos" w:eastAsia="Times New Roman" w:hAnsi="Aptos" w:cs="Arial"/>
          <w:i/>
        </w:rPr>
        <w:t>Annual Comprehensive Financial Report.</w:t>
      </w:r>
      <w:r w:rsidR="00FD1925" w:rsidRPr="00F346C5">
        <w:rPr>
          <w:rFonts w:ascii="Aptos" w:eastAsia="Times New Roman" w:hAnsi="Aptos" w:cs="Arial"/>
        </w:rPr>
        <w:t xml:space="preserve"> An electronic version of this </w:t>
      </w:r>
      <w:r w:rsidR="00FD1925" w:rsidRPr="00F346C5">
        <w:rPr>
          <w:rFonts w:ascii="Aptos" w:eastAsia="Times New Roman" w:hAnsi="Aptos" w:cs="Arial"/>
        </w:rPr>
        <w:lastRenderedPageBreak/>
        <w:t xml:space="preserve">report is available on the North Carolina Office of the State Controller’s website at </w:t>
      </w:r>
      <w:hyperlink r:id="rId80" w:history="1">
        <w:r w:rsidR="00FD1925" w:rsidRPr="00B531E4">
          <w:rPr>
            <w:rFonts w:ascii="Aptos" w:eastAsia="Aptos" w:hAnsi="Aptos" w:cs="Arial"/>
            <w:color w:val="467886"/>
            <w:u w:val="single"/>
          </w:rPr>
          <w:t>https://www.ncosc.gov/</w:t>
        </w:r>
      </w:hyperlink>
      <w:r w:rsidR="00FD1925" w:rsidRPr="00F346C5">
        <w:rPr>
          <w:rFonts w:ascii="Aptos" w:eastAsia="Times New Roman" w:hAnsi="Aptos" w:cs="Arial"/>
        </w:rPr>
        <w:t xml:space="preserve"> or by calling the State Controller’s Financial Reporting Section at </w:t>
      </w:r>
      <w:r w:rsidR="00C715C4">
        <w:rPr>
          <w:rFonts w:ascii="Aptos" w:eastAsia="Times New Roman" w:hAnsi="Aptos" w:cs="Arial"/>
        </w:rPr>
        <w:br/>
      </w:r>
      <w:r w:rsidR="00FD1925" w:rsidRPr="00F346C5">
        <w:rPr>
          <w:rFonts w:ascii="Aptos" w:eastAsia="Times New Roman" w:hAnsi="Aptos" w:cs="Arial"/>
        </w:rPr>
        <w:t>919-707-0500.</w:t>
      </w:r>
    </w:p>
    <w:p w14:paraId="2814CF0D" w14:textId="77777777" w:rsidR="00FD1925" w:rsidRPr="00F346C5" w:rsidRDefault="00FD1925" w:rsidP="00C715C4">
      <w:pPr>
        <w:numPr>
          <w:ilvl w:val="0"/>
          <w:numId w:val="37"/>
        </w:numPr>
        <w:tabs>
          <w:tab w:val="left" w:pos="810"/>
        </w:tabs>
        <w:spacing w:after="240" w:line="240" w:lineRule="auto"/>
        <w:ind w:left="360"/>
        <w:jc w:val="both"/>
        <w:rPr>
          <w:rFonts w:ascii="Aptos" w:eastAsia="Times New Roman" w:hAnsi="Aptos" w:cs="Arial"/>
        </w:rPr>
      </w:pPr>
      <w:r w:rsidRPr="00F346C5">
        <w:rPr>
          <w:rFonts w:ascii="Aptos" w:eastAsia="Times New Roman" w:hAnsi="Aptos" w:cs="Arial"/>
          <w:b/>
        </w:rPr>
        <w:t>Summary of Significant Accounting Policies and Plan Asset Matters</w:t>
      </w:r>
    </w:p>
    <w:p w14:paraId="4157F140" w14:textId="77777777" w:rsidR="00FD1925" w:rsidRPr="00F346C5" w:rsidRDefault="00FD1925" w:rsidP="00C715C4">
      <w:pPr>
        <w:spacing w:after="240" w:line="240" w:lineRule="auto"/>
        <w:ind w:left="360"/>
        <w:jc w:val="both"/>
        <w:rPr>
          <w:rFonts w:ascii="Aptos" w:eastAsia="Calibri" w:hAnsi="Aptos" w:cs="Arial"/>
        </w:rPr>
      </w:pPr>
      <w:r w:rsidRPr="00F346C5">
        <w:rPr>
          <w:rFonts w:ascii="Aptos" w:eastAsia="Calibri" w:hAnsi="Aptos" w:cs="Arial"/>
          <w:i/>
        </w:rPr>
        <w:t>Basis of Accounting:</w:t>
      </w:r>
      <w:r w:rsidRPr="00F346C5">
        <w:rPr>
          <w:rFonts w:ascii="Aptos" w:eastAsia="Calibri" w:hAnsi="Aptos" w:cs="Arial"/>
        </w:rPr>
        <w:t xml:space="preserve"> The financial statements of these plans were prepared using the accrual basis of accounting. Employer contributions are recognized when due and the employer has made a formal commitment to provide the contributions. Benefits are recognized when due and payable in accordance with the terms of each plan. For purposes of measuring the net other postemployment benefits (OPEB) liability, deferred outflows of resources and deferred inflows of resources related to OPEB, and OPEB expense, information about the fiduciary net position of each plan, and additions to/deductions from each plans’ fiduciary net position have been determined on the same basis as they are reported by the plans. </w:t>
      </w:r>
    </w:p>
    <w:p w14:paraId="65CF01AF" w14:textId="33266840" w:rsidR="00FD1925" w:rsidRPr="00F346C5" w:rsidRDefault="00FD1925" w:rsidP="00C715C4">
      <w:pPr>
        <w:spacing w:after="240" w:line="240" w:lineRule="auto"/>
        <w:ind w:left="360"/>
        <w:jc w:val="both"/>
        <w:rPr>
          <w:rFonts w:ascii="Aptos" w:eastAsia="Calibri" w:hAnsi="Aptos" w:cs="Arial"/>
        </w:rPr>
      </w:pPr>
      <w:r w:rsidRPr="00F346C5">
        <w:rPr>
          <w:rFonts w:ascii="Aptos" w:eastAsia="Times New Roman" w:hAnsi="Aptos" w:cs="Arial"/>
          <w:i/>
        </w:rPr>
        <w:t>Methods Used to Value Plan Investments:</w:t>
      </w:r>
      <w:r w:rsidRPr="00F346C5">
        <w:rPr>
          <w:rFonts w:ascii="Aptos" w:eastAsia="Times New Roman" w:hAnsi="Aptos" w:cs="Arial"/>
        </w:rPr>
        <w:t xml:space="preserve"> Pursuant to North Carolina General Statutes, the State Treasurer is the custodian and administrator of the other postemployment benefit funds. The State Treasurer maintains various investment portfolios in its External Investment Pool. The Retiree Health Benefit Fund participates in the External Investment Pool. The Disability Income Plan is invested in the Short-Term Investment Portfolio of the External Investment Pool and the Bond Index External Investment Pool. Detailed descriptions of the methods and significant assumptions regarding investments of the State Treasurer are provided in the </w:t>
      </w:r>
      <w:r w:rsidR="00A138AC" w:rsidRPr="00F346C5">
        <w:rPr>
          <w:rFonts w:ascii="Aptos" w:eastAsia="Times New Roman" w:hAnsi="Aptos" w:cs="Arial"/>
          <w:highlight w:val="yellow"/>
        </w:rPr>
        <w:t>202</w:t>
      </w:r>
      <w:r w:rsidR="00A138AC" w:rsidRPr="00B531E4">
        <w:rPr>
          <w:rFonts w:ascii="Aptos" w:eastAsia="Times New Roman" w:hAnsi="Aptos" w:cs="Arial"/>
          <w:highlight w:val="yellow"/>
        </w:rPr>
        <w:t>5</w:t>
      </w:r>
      <w:r w:rsidR="00A138AC" w:rsidRPr="00F346C5">
        <w:rPr>
          <w:rFonts w:ascii="Aptos" w:eastAsia="Times New Roman" w:hAnsi="Aptos" w:cs="Arial"/>
        </w:rPr>
        <w:t xml:space="preserve"> </w:t>
      </w:r>
      <w:r w:rsidRPr="00F346C5">
        <w:rPr>
          <w:rFonts w:ascii="Aptos" w:eastAsia="Times New Roman" w:hAnsi="Aptos" w:cs="Arial"/>
          <w:i/>
        </w:rPr>
        <w:t>Annual Comprehensive Financial Report.</w:t>
      </w:r>
    </w:p>
    <w:p w14:paraId="518083D2" w14:textId="77777777" w:rsidR="00FD1925" w:rsidRPr="00F346C5" w:rsidRDefault="00FD1925" w:rsidP="00C715C4">
      <w:pPr>
        <w:numPr>
          <w:ilvl w:val="0"/>
          <w:numId w:val="37"/>
        </w:numPr>
        <w:tabs>
          <w:tab w:val="left" w:pos="1440"/>
        </w:tabs>
        <w:spacing w:after="240" w:line="240" w:lineRule="auto"/>
        <w:ind w:left="360"/>
        <w:jc w:val="both"/>
        <w:rPr>
          <w:rFonts w:ascii="Aptos" w:eastAsia="Times New Roman" w:hAnsi="Aptos" w:cs="Arial"/>
          <w:b/>
        </w:rPr>
      </w:pPr>
      <w:r w:rsidRPr="00F346C5">
        <w:rPr>
          <w:rFonts w:ascii="Aptos" w:eastAsia="Times New Roman" w:hAnsi="Aptos" w:cs="Arial"/>
          <w:b/>
        </w:rPr>
        <w:t>Plan Descriptions</w:t>
      </w:r>
    </w:p>
    <w:p w14:paraId="4A4DE2AF" w14:textId="77777777" w:rsidR="00FD1925" w:rsidRPr="00F346C5" w:rsidRDefault="00FD1925" w:rsidP="00C715C4">
      <w:pPr>
        <w:numPr>
          <w:ilvl w:val="0"/>
          <w:numId w:val="38"/>
        </w:numPr>
        <w:spacing w:after="240" w:line="240" w:lineRule="auto"/>
        <w:ind w:left="720"/>
        <w:jc w:val="both"/>
        <w:rPr>
          <w:rFonts w:ascii="Aptos" w:eastAsia="Times New Roman" w:hAnsi="Aptos" w:cs="Arial"/>
          <w:b/>
        </w:rPr>
      </w:pPr>
      <w:r w:rsidRPr="00F346C5">
        <w:rPr>
          <w:rFonts w:ascii="Aptos" w:eastAsia="Times New Roman" w:hAnsi="Aptos" w:cs="Arial"/>
          <w:b/>
        </w:rPr>
        <w:t>Health Benefits</w:t>
      </w:r>
    </w:p>
    <w:p w14:paraId="28FE33C9" w14:textId="77777777" w:rsidR="00FD1925" w:rsidRPr="00F346C5" w:rsidRDefault="00FD1925" w:rsidP="00C715C4">
      <w:pPr>
        <w:spacing w:after="240" w:line="240" w:lineRule="auto"/>
        <w:ind w:left="720"/>
        <w:jc w:val="both"/>
        <w:rPr>
          <w:rFonts w:ascii="Aptos" w:eastAsia="Times New Roman" w:hAnsi="Aptos" w:cs="Arial"/>
        </w:rPr>
      </w:pPr>
      <w:r w:rsidRPr="00F346C5">
        <w:rPr>
          <w:rFonts w:ascii="Aptos" w:eastAsia="Times New Roman" w:hAnsi="Aptos" w:cs="Arial"/>
          <w:i/>
        </w:rPr>
        <w:t>Plan Administration:</w:t>
      </w:r>
      <w:r w:rsidRPr="00F346C5">
        <w:rPr>
          <w:rFonts w:ascii="Aptos" w:eastAsia="Times New Roman" w:hAnsi="Aptos" w:cs="Arial"/>
        </w:rPr>
        <w:t xml:space="preserve"> The State of North Carolina administers the North Carolina State Health Plan for Teachers and State Employees, referred to as the State Health Plan (the Plan), a healthcare plan exclusively for the benefit of employees of the State, the University of North Carolina System, community colleges, and certain other component units. In addition, Local Education Agencies (LEAs), charter schools, and some select local governments that are not part of the State’s financial reporting entity also participate. Health benefit programs and premium rates are determined by the State Treasurer upon approval of the Plan Board of Trustees. </w:t>
      </w:r>
    </w:p>
    <w:p w14:paraId="3B156230" w14:textId="637A35CA" w:rsidR="00FD1925" w:rsidRPr="00F346C5" w:rsidRDefault="00FD1925" w:rsidP="00C715C4">
      <w:pPr>
        <w:spacing w:after="240" w:line="240" w:lineRule="auto"/>
        <w:ind w:left="720"/>
        <w:jc w:val="both"/>
        <w:rPr>
          <w:rFonts w:ascii="Aptos" w:eastAsia="Times New Roman" w:hAnsi="Aptos" w:cs="Arial"/>
        </w:rPr>
      </w:pPr>
      <w:r w:rsidRPr="00F346C5">
        <w:rPr>
          <w:rFonts w:ascii="Aptos" w:eastAsia="Times New Roman" w:hAnsi="Aptos" w:cs="Arial"/>
        </w:rPr>
        <w:t xml:space="preserve">The Retiree Health Benefit Fund (RHBF) has been established by </w:t>
      </w:r>
      <w:r w:rsidR="00A053BD" w:rsidRPr="00F303AA">
        <w:rPr>
          <w:rFonts w:ascii="Aptos" w:eastAsia="Calibri" w:hAnsi="Aptos" w:cs="Arial"/>
          <w:highlight w:val="yellow"/>
        </w:rPr>
        <w:t>N.C.G.S. §</w:t>
      </w:r>
      <w:r w:rsidR="00A053BD" w:rsidRPr="00F303AA">
        <w:rPr>
          <w:rFonts w:ascii="Aptos" w:eastAsia="Times New Roman" w:hAnsi="Aptos" w:cs="Arial"/>
          <w:highlight w:val="yellow"/>
        </w:rPr>
        <w:t>135-7(f)</w:t>
      </w:r>
      <w:r w:rsidR="00A053BD" w:rsidRPr="00866A10">
        <w:rPr>
          <w:rFonts w:ascii="Aptos" w:eastAsia="Times New Roman" w:hAnsi="Aptos" w:cs="Arial"/>
        </w:rPr>
        <w:t xml:space="preserve"> </w:t>
      </w:r>
      <w:r w:rsidRPr="00F346C5">
        <w:rPr>
          <w:rFonts w:ascii="Aptos" w:eastAsia="Times New Roman" w:hAnsi="Aptos" w:cs="Arial"/>
        </w:rPr>
        <w:t xml:space="preserve">as a fund to provide health benefits to retired and disabled employees and their applicable beneficiaries. RHBF is a cost-sharing, multiple-employer, defined benefit healthcare plan, exclusively for the benefit of former employees of the State, the University of North Carolina System, and community colleges. In addition, LEAs, charter schools, and some select local governments that are not part of the State’s financial reporting entity also participate. </w:t>
      </w:r>
    </w:p>
    <w:p w14:paraId="3E649FCF" w14:textId="626E7EB7" w:rsidR="00FD1925" w:rsidRPr="00F346C5" w:rsidRDefault="00FD1925" w:rsidP="00C715C4">
      <w:pPr>
        <w:tabs>
          <w:tab w:val="left" w:pos="1440"/>
        </w:tabs>
        <w:spacing w:after="240" w:line="240" w:lineRule="auto"/>
        <w:ind w:left="720"/>
        <w:jc w:val="both"/>
        <w:rPr>
          <w:rFonts w:ascii="Aptos" w:eastAsia="Times New Roman" w:hAnsi="Aptos" w:cs="Arial"/>
        </w:rPr>
      </w:pPr>
      <w:r w:rsidRPr="00F346C5">
        <w:rPr>
          <w:rFonts w:ascii="Aptos" w:eastAsia="Times New Roman" w:hAnsi="Aptos" w:cs="Arial"/>
        </w:rPr>
        <w:t xml:space="preserve">By statute, RHBF is administered by the Board of Trustees of the Teachers’ and State Employees’ Retirement System (TSERS). RHBF is supported by a percent of payroll contribution from participating employing units. </w:t>
      </w:r>
      <w:r w:rsidRPr="00B531E4">
        <w:rPr>
          <w:rFonts w:ascii="Aptos" w:eastAsia="Times New Roman" w:hAnsi="Aptos" w:cs="Arial"/>
          <w:highlight w:val="yellow"/>
        </w:rPr>
        <w:t>Each year the percentage is set in legislation</w:t>
      </w:r>
      <w:r w:rsidRPr="00F346C5">
        <w:rPr>
          <w:rFonts w:ascii="Aptos" w:eastAsia="Times New Roman" w:hAnsi="Aptos" w:cs="Arial"/>
        </w:rPr>
        <w:t xml:space="preserve">. The State Treasurer, with the approval of the Plan Board of Trustees, then sets </w:t>
      </w:r>
      <w:r w:rsidRPr="00F346C5">
        <w:rPr>
          <w:rFonts w:ascii="Aptos" w:eastAsia="Times New Roman" w:hAnsi="Aptos" w:cs="Arial"/>
        </w:rPr>
        <w:lastRenderedPageBreak/>
        <w:t xml:space="preserve">the employer contributions (subject to the legislative cap) and the premiums to be paid by retirees, as well as the health benefits to be provided through the Plan. </w:t>
      </w:r>
    </w:p>
    <w:p w14:paraId="35538FE8" w14:textId="172065C5" w:rsidR="00FD1925" w:rsidRPr="00F346C5" w:rsidRDefault="00FD1925" w:rsidP="00C715C4">
      <w:pPr>
        <w:tabs>
          <w:tab w:val="left" w:pos="1440"/>
        </w:tabs>
        <w:spacing w:after="240" w:line="240" w:lineRule="auto"/>
        <w:ind w:left="720"/>
        <w:jc w:val="both"/>
        <w:rPr>
          <w:rFonts w:ascii="Aptos" w:eastAsia="Times New Roman" w:hAnsi="Aptos" w:cs="Arial"/>
        </w:rPr>
      </w:pPr>
      <w:r w:rsidRPr="00F346C5">
        <w:rPr>
          <w:rFonts w:ascii="Aptos" w:eastAsia="Times New Roman" w:hAnsi="Aptos" w:cs="Arial"/>
          <w:i/>
        </w:rPr>
        <w:t>Benefits Provided:</w:t>
      </w:r>
      <w:r w:rsidRPr="00F346C5">
        <w:rPr>
          <w:rFonts w:ascii="Aptos" w:eastAsia="Times New Roman" w:hAnsi="Aptos" w:cs="Arial"/>
        </w:rPr>
        <w:t xml:space="preserve"> Plan benefits received by retired employees and disabled employees from RHBF are OPEB. The healthcare benefits for retired and disabled employees who are not eligible for Medicare are the same as for active employees </w:t>
      </w:r>
      <w:r w:rsidRPr="00F346C5">
        <w:rPr>
          <w:rFonts w:ascii="Aptos" w:eastAsia="Times New Roman" w:hAnsi="Aptos" w:cs="Arial"/>
        </w:rPr>
        <w:br/>
        <w:t xml:space="preserve">as described in Note </w:t>
      </w:r>
      <w:r w:rsidRPr="00F346C5">
        <w:rPr>
          <w:rFonts w:ascii="Aptos" w:eastAsia="Times New Roman" w:hAnsi="Aptos" w:cs="Arial"/>
          <w:b/>
          <w:color w:val="0000FF"/>
        </w:rPr>
        <w:t>XX</w:t>
      </w:r>
      <w:r w:rsidRPr="00F346C5">
        <w:rPr>
          <w:rFonts w:ascii="Aptos" w:eastAsia="Times New Roman" w:hAnsi="Aptos" w:cs="Arial"/>
        </w:rPr>
        <w:t xml:space="preserve">. The plan options change when the former employees </w:t>
      </w:r>
      <w:r w:rsidRPr="00F346C5">
        <w:rPr>
          <w:rFonts w:ascii="Aptos" w:eastAsia="Times New Roman" w:hAnsi="Aptos" w:cs="Arial"/>
        </w:rPr>
        <w:br/>
        <w:t xml:space="preserve">become eligible for Medicare. </w:t>
      </w:r>
      <w:bookmarkStart w:id="329" w:name="_Hlk105523049"/>
      <w:r w:rsidRPr="00F346C5">
        <w:rPr>
          <w:rFonts w:ascii="Aptos" w:eastAsia="Calibri" w:hAnsi="Aptos" w:cs="Arial"/>
        </w:rPr>
        <w:t>The benefits provided include medical and pharmacy coverage for employees and their dependents. Non-Medicare eligible members have two self-funded options administered by the Plan while Medicare members have three options, including one self-funded option and two fully-insured Medicare Advantage/Prescription Drug Plan options. Self-funded medical and pharmacy claims costs are shared between the covered member and the Plan. If the self-funded plan is elected by a Medicare eligible member, the coverage is secondary to Medicare. Fully-insured claims include cost sharing from covered members with the remaining balance paid by the fully-insured carrier.</w:t>
      </w:r>
      <w:bookmarkEnd w:id="329"/>
    </w:p>
    <w:p w14:paraId="61C48A9A" w14:textId="6CDE745F" w:rsidR="00FD1925" w:rsidRPr="00F346C5" w:rsidRDefault="00FD1925" w:rsidP="00C715C4">
      <w:pPr>
        <w:tabs>
          <w:tab w:val="left" w:pos="1440"/>
        </w:tabs>
        <w:spacing w:after="240" w:line="240" w:lineRule="auto"/>
        <w:ind w:left="720"/>
        <w:jc w:val="both"/>
        <w:rPr>
          <w:rFonts w:ascii="Aptos" w:eastAsia="Times New Roman" w:hAnsi="Aptos" w:cs="Arial"/>
        </w:rPr>
      </w:pPr>
      <w:r w:rsidRPr="00F346C5">
        <w:rPr>
          <w:rFonts w:ascii="Aptos" w:eastAsia="Times New Roman" w:hAnsi="Aptos" w:cs="Arial"/>
        </w:rPr>
        <w:t xml:space="preserve">Those former employees who are eligible to receive medical benefits from RHBF are long-term disability beneficiaries of the Disability Income Plan of North Carolina and retirees of TSERS, the Consolidated Judicial Retirement System (CJRS), the Legislative Retirement System (LRS), the University Employees’ Optional Retirement Program (ORP), and a small number of local governments, with five or more years of contributory membership service in their retirement system prior to disability or retirement, with the following exceptions: for employees first hired on or after October 1, 2006, and members of the North Carolina General Assembly first taking office on or after February 1, 2007, future coverage as retired employees and retired members of the North Carolina General Assembly is subject to the requirement that the future retiree have 20 or more years of retirement service credit in order to receive coverage on a noncontributory basis. Employees first hired on or after October 1, 2006 and members of the North Carolina General Assembly first taking office on or after February 1, 2007 with 10 but less than 20 years of retirement service credit are eligible for coverage on a partially contributory basis. For such future retirees, the State will pay 50% of the Plan’s total noncontributory premium. Employees first hired on or after October 1, 2006 and members of the North Carolina General Assembly first taking office on or after February 1, 2007 with five but less than 10 years of retirement service credit are eligible for coverage on a fully contributory basis. </w:t>
      </w:r>
    </w:p>
    <w:p w14:paraId="4C060F2F" w14:textId="440027BE" w:rsidR="00FD1925" w:rsidRPr="00F346C5" w:rsidRDefault="00A76B23" w:rsidP="00C715C4">
      <w:pPr>
        <w:tabs>
          <w:tab w:val="left" w:pos="1440"/>
        </w:tabs>
        <w:spacing w:after="240" w:line="240" w:lineRule="auto"/>
        <w:ind w:left="720"/>
        <w:jc w:val="both"/>
        <w:rPr>
          <w:rFonts w:ascii="Aptos" w:eastAsia="Times New Roman" w:hAnsi="Aptos" w:cs="Arial"/>
        </w:rPr>
      </w:pPr>
      <w:r w:rsidRPr="00A15835">
        <w:rPr>
          <w:rFonts w:ascii="Aptos" w:eastAsia="Times New Roman" w:hAnsi="Aptos" w:cs="Arial"/>
          <w:highlight w:val="yellow"/>
        </w:rPr>
        <w:t>Sections 35.21.(c) and (d)</w:t>
      </w:r>
      <w:r w:rsidRPr="00866A10">
        <w:rPr>
          <w:rFonts w:ascii="Aptos" w:eastAsia="Times New Roman" w:hAnsi="Aptos" w:cs="Arial"/>
        </w:rPr>
        <w:t xml:space="preserve"> </w:t>
      </w:r>
      <w:r w:rsidR="00FD1925" w:rsidRPr="00F346C5">
        <w:rPr>
          <w:rFonts w:ascii="Aptos" w:eastAsia="Times New Roman" w:hAnsi="Aptos" w:cs="Arial"/>
        </w:rPr>
        <w:t xml:space="preserve">of Session Law 2017-57 repealed retiree medical benefits for employees first hired on or after January 1, 2021. The legislation amended Chapter 135, Article 3B of the </w:t>
      </w:r>
      <w:r w:rsidR="007D0641" w:rsidRPr="00A15835">
        <w:rPr>
          <w:rFonts w:ascii="Aptos" w:eastAsia="Times New Roman" w:hAnsi="Aptos" w:cs="Arial"/>
          <w:highlight w:val="yellow"/>
        </w:rPr>
        <w:t>North Carolina</w:t>
      </w:r>
      <w:r w:rsidR="007D0641">
        <w:rPr>
          <w:rFonts w:ascii="Aptos" w:eastAsia="Times New Roman" w:hAnsi="Aptos" w:cs="Arial"/>
        </w:rPr>
        <w:t xml:space="preserve"> </w:t>
      </w:r>
      <w:r w:rsidR="00FD1925" w:rsidRPr="00F346C5">
        <w:rPr>
          <w:rFonts w:ascii="Aptos" w:eastAsia="Times New Roman" w:hAnsi="Aptos" w:cs="Arial"/>
        </w:rPr>
        <w:t xml:space="preserve">General Statutes to require that retirees must earn contributory retirement service in the TSERS (or in an allowed local system unit), CJRS, or LRS prior to January 1, 2021, and not withdraw that service, in order to be eligible for retiree medical benefits under the amended law. Consequently, members first hired on and after </w:t>
      </w:r>
      <w:r w:rsidR="00C715C4">
        <w:rPr>
          <w:rFonts w:ascii="Aptos" w:eastAsia="Times New Roman" w:hAnsi="Aptos" w:cs="Arial"/>
        </w:rPr>
        <w:br/>
      </w:r>
      <w:r w:rsidR="00FD1925" w:rsidRPr="00F346C5">
        <w:rPr>
          <w:rFonts w:ascii="Aptos" w:eastAsia="Times New Roman" w:hAnsi="Aptos" w:cs="Arial"/>
        </w:rPr>
        <w:t xml:space="preserve">January 1, 2021 will not be eligible to receive retiree medical benefits. </w:t>
      </w:r>
    </w:p>
    <w:p w14:paraId="1F8164BA" w14:textId="55018820" w:rsidR="00FD1925" w:rsidRPr="00F346C5" w:rsidRDefault="00FD1925" w:rsidP="00C715C4">
      <w:pPr>
        <w:spacing w:after="240" w:line="240" w:lineRule="auto"/>
        <w:ind w:left="720"/>
        <w:jc w:val="both"/>
        <w:rPr>
          <w:rFonts w:ascii="Aptos" w:eastAsia="Times New Roman" w:hAnsi="Aptos" w:cs="Arial"/>
        </w:rPr>
      </w:pPr>
      <w:r w:rsidRPr="00F346C5">
        <w:rPr>
          <w:rFonts w:ascii="Aptos" w:eastAsia="Times New Roman" w:hAnsi="Aptos" w:cs="Arial"/>
        </w:rPr>
        <w:t xml:space="preserve">RHBF’s benefit and contribution provisions are established by </w:t>
      </w:r>
      <w:r w:rsidR="008F2124" w:rsidRPr="00E752BD">
        <w:rPr>
          <w:rFonts w:ascii="Aptos" w:eastAsia="Times New Roman" w:hAnsi="Aptos" w:cs="Arial"/>
          <w:highlight w:val="yellow"/>
        </w:rPr>
        <w:t xml:space="preserve">Chapter 135, Articles 1 and 3B of the </w:t>
      </w:r>
      <w:r w:rsidR="008F2124">
        <w:rPr>
          <w:rFonts w:ascii="Aptos" w:eastAsia="Times New Roman" w:hAnsi="Aptos" w:cs="Arial"/>
          <w:highlight w:val="yellow"/>
        </w:rPr>
        <w:t xml:space="preserve">North Carolina </w:t>
      </w:r>
      <w:r w:rsidR="008F2124" w:rsidRPr="00E752BD">
        <w:rPr>
          <w:rFonts w:ascii="Aptos" w:eastAsia="Times New Roman" w:hAnsi="Aptos" w:cs="Arial"/>
          <w:highlight w:val="yellow"/>
        </w:rPr>
        <w:t xml:space="preserve">General Statutes </w:t>
      </w:r>
      <w:r w:rsidRPr="00F346C5">
        <w:rPr>
          <w:rFonts w:ascii="Aptos" w:eastAsia="Times New Roman" w:hAnsi="Aptos" w:cs="Arial"/>
        </w:rPr>
        <w:t xml:space="preserve">and may be amended only by the North </w:t>
      </w:r>
      <w:r w:rsidRPr="00F346C5">
        <w:rPr>
          <w:rFonts w:ascii="Aptos" w:eastAsia="Times New Roman" w:hAnsi="Aptos" w:cs="Arial"/>
        </w:rPr>
        <w:lastRenderedPageBreak/>
        <w:t xml:space="preserve">Carolina General Assembly. RHBF does not provide for automatic post-retirement benefit increases. </w:t>
      </w:r>
    </w:p>
    <w:p w14:paraId="42020791" w14:textId="101B94CA" w:rsidR="00FD1925" w:rsidRPr="00F346C5" w:rsidRDefault="00FD1925" w:rsidP="00C715C4">
      <w:pPr>
        <w:spacing w:after="240" w:line="240" w:lineRule="auto"/>
        <w:ind w:left="720"/>
        <w:jc w:val="both"/>
        <w:rPr>
          <w:rFonts w:ascii="Aptos" w:eastAsia="Times New Roman" w:hAnsi="Aptos" w:cs="Arial"/>
        </w:rPr>
      </w:pPr>
      <w:r w:rsidRPr="00F346C5">
        <w:rPr>
          <w:rFonts w:ascii="Aptos" w:eastAsia="Times New Roman" w:hAnsi="Aptos" w:cs="Arial"/>
          <w:i/>
        </w:rPr>
        <w:t>Contributions:</w:t>
      </w:r>
      <w:r w:rsidRPr="00F346C5">
        <w:rPr>
          <w:rFonts w:ascii="Aptos" w:eastAsia="Times New Roman" w:hAnsi="Aptos" w:cs="Arial"/>
        </w:rPr>
        <w:t xml:space="preserve"> Contribution rates to RHBF, which are intended to finance benefits and administrative expenses on a pay-as-you-go basis, are determined by the</w:t>
      </w:r>
      <w:r w:rsidR="00CF0BDC" w:rsidRPr="00F346C5">
        <w:rPr>
          <w:rFonts w:ascii="Aptos" w:eastAsia="Times New Roman" w:hAnsi="Aptos" w:cs="Arial"/>
        </w:rPr>
        <w:t xml:space="preserve"> </w:t>
      </w:r>
      <w:r w:rsidRPr="00F346C5">
        <w:rPr>
          <w:rFonts w:ascii="Aptos" w:eastAsia="Times New Roman" w:hAnsi="Aptos" w:cs="Arial"/>
        </w:rPr>
        <w:t xml:space="preserve">North Carolina General Assembly in the Appropriations Act. The College’s contractually-required contribution rate for the year ended June 30, </w:t>
      </w:r>
      <w:r w:rsidR="008F2124" w:rsidRPr="00F346C5">
        <w:rPr>
          <w:rFonts w:ascii="Aptos" w:eastAsia="Times New Roman" w:hAnsi="Aptos" w:cs="Arial"/>
          <w:highlight w:val="yellow"/>
        </w:rPr>
        <w:t>202</w:t>
      </w:r>
      <w:r w:rsidR="008F2124" w:rsidRPr="00B531E4">
        <w:rPr>
          <w:rFonts w:ascii="Aptos" w:eastAsia="Times New Roman" w:hAnsi="Aptos" w:cs="Arial"/>
          <w:highlight w:val="yellow"/>
        </w:rPr>
        <w:t>6</w:t>
      </w:r>
      <w:r w:rsidR="008F2124" w:rsidRPr="00F346C5">
        <w:rPr>
          <w:rFonts w:ascii="Aptos" w:eastAsia="Times New Roman" w:hAnsi="Aptos" w:cs="Arial"/>
        </w:rPr>
        <w:t xml:space="preserve"> </w:t>
      </w:r>
      <w:r w:rsidRPr="00F346C5">
        <w:rPr>
          <w:rFonts w:ascii="Aptos" w:eastAsia="Times New Roman" w:hAnsi="Aptos" w:cs="Arial"/>
        </w:rPr>
        <w:t xml:space="preserve">was </w:t>
      </w:r>
      <w:r w:rsidR="008F2124">
        <w:rPr>
          <w:rFonts w:ascii="Aptos" w:eastAsia="Times New Roman" w:hAnsi="Aptos" w:cs="Arial"/>
          <w:highlight w:val="yellow"/>
        </w:rPr>
        <w:t>7</w:t>
      </w:r>
      <w:r w:rsidRPr="00F346C5">
        <w:rPr>
          <w:rFonts w:ascii="Aptos" w:eastAsia="Times New Roman" w:hAnsi="Aptos" w:cs="Arial"/>
          <w:highlight w:val="yellow"/>
        </w:rPr>
        <w:t>.</w:t>
      </w:r>
      <w:r w:rsidR="008F2124">
        <w:rPr>
          <w:rFonts w:ascii="Aptos" w:eastAsia="Times New Roman" w:hAnsi="Aptos" w:cs="Arial"/>
          <w:highlight w:val="yellow"/>
        </w:rPr>
        <w:t>33</w:t>
      </w:r>
      <w:r w:rsidRPr="00F346C5">
        <w:rPr>
          <w:rFonts w:ascii="Aptos" w:eastAsia="Times New Roman" w:hAnsi="Aptos" w:cs="Arial"/>
          <w:highlight w:val="yellow"/>
        </w:rPr>
        <w:t>%</w:t>
      </w:r>
      <w:r w:rsidRPr="00F346C5">
        <w:rPr>
          <w:rFonts w:ascii="Aptos" w:eastAsia="Times New Roman" w:hAnsi="Aptos" w:cs="Arial"/>
        </w:rPr>
        <w:t xml:space="preserve"> of covered payroll. The College’s contributions to the RHBF were $______ for the year ended June 30, </w:t>
      </w:r>
      <w:r w:rsidR="008F2124" w:rsidRPr="00F346C5">
        <w:rPr>
          <w:rFonts w:ascii="Aptos" w:eastAsia="Times New Roman" w:hAnsi="Aptos" w:cs="Arial"/>
          <w:highlight w:val="yellow"/>
        </w:rPr>
        <w:t>202</w:t>
      </w:r>
      <w:r w:rsidR="008F2124" w:rsidRPr="00B531E4">
        <w:rPr>
          <w:rFonts w:ascii="Aptos" w:eastAsia="Times New Roman" w:hAnsi="Aptos" w:cs="Arial"/>
          <w:highlight w:val="yellow"/>
        </w:rPr>
        <w:t>6</w:t>
      </w:r>
      <w:r w:rsidRPr="00F346C5">
        <w:rPr>
          <w:rFonts w:ascii="Aptos" w:eastAsia="Times New Roman" w:hAnsi="Aptos" w:cs="Arial"/>
        </w:rPr>
        <w:t xml:space="preserve">. </w:t>
      </w:r>
    </w:p>
    <w:p w14:paraId="62E910E7" w14:textId="34B95EB7" w:rsidR="00FD1925" w:rsidRPr="00F346C5" w:rsidRDefault="00FD1925" w:rsidP="00C715C4">
      <w:pPr>
        <w:tabs>
          <w:tab w:val="left" w:pos="1440"/>
        </w:tabs>
        <w:spacing w:after="240" w:line="240" w:lineRule="auto"/>
        <w:ind w:left="720"/>
        <w:jc w:val="both"/>
        <w:rPr>
          <w:rFonts w:ascii="Aptos" w:eastAsia="Times New Roman" w:hAnsi="Aptos" w:cs="Arial"/>
        </w:rPr>
      </w:pPr>
      <w:r w:rsidRPr="00F346C5">
        <w:rPr>
          <w:rFonts w:ascii="Aptos" w:eastAsia="Times New Roman" w:hAnsi="Aptos" w:cs="Arial"/>
        </w:rPr>
        <w:t xml:space="preserve">In fiscal year </w:t>
      </w:r>
      <w:r w:rsidRPr="00F346C5">
        <w:rPr>
          <w:rFonts w:ascii="Aptos" w:eastAsia="Times New Roman" w:hAnsi="Aptos" w:cs="Arial"/>
          <w:highlight w:val="yellow"/>
        </w:rPr>
        <w:t>202</w:t>
      </w:r>
      <w:r w:rsidR="008F2124" w:rsidRPr="00B531E4">
        <w:rPr>
          <w:rFonts w:ascii="Aptos" w:eastAsia="Times New Roman" w:hAnsi="Aptos" w:cs="Arial"/>
          <w:highlight w:val="yellow"/>
        </w:rPr>
        <w:t>4</w:t>
      </w:r>
      <w:r w:rsidRPr="00F346C5">
        <w:rPr>
          <w:rFonts w:ascii="Aptos" w:eastAsia="Times New Roman" w:hAnsi="Aptos" w:cs="Arial"/>
        </w:rPr>
        <w:t xml:space="preserve">, the Plan transferred </w:t>
      </w:r>
      <w:r w:rsidRPr="00F346C5">
        <w:rPr>
          <w:rFonts w:ascii="Aptos" w:eastAsia="Times New Roman" w:hAnsi="Aptos" w:cs="Arial"/>
          <w:highlight w:val="yellow"/>
        </w:rPr>
        <w:t>$</w:t>
      </w:r>
      <w:r w:rsidR="008F2124">
        <w:rPr>
          <w:rFonts w:ascii="Aptos" w:eastAsia="Times New Roman" w:hAnsi="Aptos" w:cs="Arial"/>
          <w:highlight w:val="yellow"/>
        </w:rPr>
        <w:t>10.3</w:t>
      </w:r>
      <w:r w:rsidRPr="00F346C5">
        <w:rPr>
          <w:rFonts w:ascii="Aptos" w:eastAsia="Times New Roman" w:hAnsi="Aptos" w:cs="Arial"/>
        </w:rPr>
        <w:t xml:space="preserve"> million to RHBF as a result of cost savings to the Plan over a span of six years. For financial reporting purposes, the transfer was recognized as a nonemployer contributing entity contribution. The contribution was allocated among the RHBF employers and recorded as noncapital contributions. For the fiscal year ended June 30, </w:t>
      </w:r>
      <w:r w:rsidRPr="00F346C5">
        <w:rPr>
          <w:rFonts w:ascii="Aptos" w:eastAsia="Times New Roman" w:hAnsi="Aptos" w:cs="Arial"/>
          <w:highlight w:val="yellow"/>
        </w:rPr>
        <w:t>202</w:t>
      </w:r>
      <w:r w:rsidR="008F2124" w:rsidRPr="00B531E4">
        <w:rPr>
          <w:rFonts w:ascii="Aptos" w:eastAsia="Times New Roman" w:hAnsi="Aptos" w:cs="Arial"/>
          <w:highlight w:val="yellow"/>
        </w:rPr>
        <w:t>6</w:t>
      </w:r>
      <w:r w:rsidRPr="00F346C5">
        <w:rPr>
          <w:rFonts w:ascii="Aptos" w:eastAsia="Times New Roman" w:hAnsi="Aptos" w:cs="Arial"/>
        </w:rPr>
        <w:t>, the College recognized noncapital contributions for RHBF of $________.</w:t>
      </w:r>
    </w:p>
    <w:p w14:paraId="223A55D8" w14:textId="77777777" w:rsidR="00FD1925" w:rsidRPr="00F346C5" w:rsidRDefault="00FD1925" w:rsidP="00C715C4">
      <w:pPr>
        <w:numPr>
          <w:ilvl w:val="0"/>
          <w:numId w:val="38"/>
        </w:numPr>
        <w:tabs>
          <w:tab w:val="left" w:pos="1800"/>
        </w:tabs>
        <w:spacing w:after="240" w:line="240" w:lineRule="auto"/>
        <w:ind w:left="720"/>
        <w:jc w:val="both"/>
        <w:rPr>
          <w:rFonts w:ascii="Aptos" w:eastAsia="Times New Roman" w:hAnsi="Aptos" w:cs="Arial"/>
          <w:b/>
        </w:rPr>
      </w:pPr>
      <w:r w:rsidRPr="00F346C5">
        <w:rPr>
          <w:rFonts w:ascii="Aptos" w:eastAsia="Times New Roman" w:hAnsi="Aptos" w:cs="Arial"/>
          <w:b/>
        </w:rPr>
        <w:t>Disability Income</w:t>
      </w:r>
    </w:p>
    <w:p w14:paraId="32FC16D6" w14:textId="77777777" w:rsidR="00FD1925" w:rsidRPr="00F346C5" w:rsidRDefault="00FD1925" w:rsidP="00C715C4">
      <w:pPr>
        <w:tabs>
          <w:tab w:val="left" w:pos="1440"/>
        </w:tabs>
        <w:spacing w:after="240" w:line="240" w:lineRule="auto"/>
        <w:ind w:left="720"/>
        <w:jc w:val="both"/>
        <w:rPr>
          <w:rFonts w:ascii="Aptos" w:eastAsia="Times New Roman" w:hAnsi="Aptos" w:cs="Arial"/>
        </w:rPr>
      </w:pPr>
      <w:r w:rsidRPr="00F346C5">
        <w:rPr>
          <w:rFonts w:ascii="Aptos" w:eastAsia="Times New Roman" w:hAnsi="Aptos" w:cs="Arial"/>
          <w:i/>
        </w:rPr>
        <w:t>Plan Administration:</w:t>
      </w:r>
      <w:r w:rsidRPr="00F346C5">
        <w:rPr>
          <w:rFonts w:ascii="Aptos" w:eastAsia="Times New Roman" w:hAnsi="Aptos" w:cs="Arial"/>
        </w:rPr>
        <w:t xml:space="preserve"> As discussed in Note </w:t>
      </w:r>
      <w:r w:rsidRPr="00F346C5">
        <w:rPr>
          <w:rFonts w:ascii="Aptos" w:eastAsia="Times New Roman" w:hAnsi="Aptos" w:cs="Arial"/>
          <w:b/>
          <w:color w:val="0000FF"/>
        </w:rPr>
        <w:t>XX</w:t>
      </w:r>
      <w:r w:rsidRPr="00F346C5">
        <w:rPr>
          <w:rFonts w:ascii="Aptos" w:eastAsia="Times New Roman" w:hAnsi="Aptos" w:cs="Arial"/>
        </w:rPr>
        <w:t>, short-term and long-term disability benefits are provided through the Disability Income Plan of North Carolina (DIPNC), a cost-sharing, multiple-employer defined benefit plan, to the eligible members of TSERS which includes employees of the State, the University of North Carolina System, community colleges, certain participating component units and LEAs which are not part of the State’s reporting entity, and the University Employees’ ORP. By statute, DIPNC is administered by the Department of State Treasurer and the Board of Trustees of TSERS.</w:t>
      </w:r>
    </w:p>
    <w:p w14:paraId="0C04E1A4" w14:textId="46736EB8" w:rsidR="00FD1925" w:rsidRPr="00F346C5" w:rsidRDefault="00FD1925" w:rsidP="00C715C4">
      <w:pPr>
        <w:spacing w:after="240" w:line="240" w:lineRule="auto"/>
        <w:ind w:left="720"/>
        <w:jc w:val="both"/>
        <w:rPr>
          <w:rFonts w:ascii="Aptos" w:eastAsia="Times New Roman" w:hAnsi="Aptos" w:cs="Arial"/>
        </w:rPr>
      </w:pPr>
      <w:r w:rsidRPr="00F346C5">
        <w:rPr>
          <w:rFonts w:ascii="Aptos" w:eastAsia="Times New Roman" w:hAnsi="Aptos" w:cs="Arial"/>
          <w:i/>
        </w:rPr>
        <w:t>Benefits Provided:</w:t>
      </w:r>
      <w:r w:rsidRPr="00F346C5">
        <w:rPr>
          <w:rFonts w:ascii="Aptos" w:eastAsia="Times New Roman" w:hAnsi="Aptos" w:cs="Arial"/>
        </w:rPr>
        <w:t xml:space="preserve"> Long-term disability benefits are payable as an OPEB from DIPNC after the conclusion of the short-term disability period or after salary continuation payments cease, whichever is later, while the employee is disabled and does not meet the TSERS conditions for unreduced service retirement. </w:t>
      </w:r>
      <w:r w:rsidR="0081783D" w:rsidRPr="00DE7EF2">
        <w:rPr>
          <w:rFonts w:ascii="Aptos" w:eastAsia="Times New Roman" w:hAnsi="Aptos" w:cs="Arial"/>
          <w:highlight w:val="yellow"/>
        </w:rPr>
        <w:t>Per N.C.G.S. § 135-106 an</w:t>
      </w:r>
      <w:r w:rsidRPr="00F346C5">
        <w:rPr>
          <w:rFonts w:ascii="Aptos" w:eastAsia="Times New Roman" w:hAnsi="Aptos" w:cs="Arial"/>
        </w:rPr>
        <w:t xml:space="preserve"> employee is eligible to receive long-term disability benefits provided the following requirements are met: (1) the employee has five or more years of contributing membership service in TSERS or the University Employees’ ORP, earned within 96 months prior to becoming disabled or cessation of salary continuation payments, whichever is later; (2) the employee must make application to receive long-term benefits within 180 days after the conclusion of the short-term disability period or after salary continuation payments cease or after monthly payments for Workers’ Compensation cease (excluding monthly payments for permanent partial benefits), whichever is later; (3) the employee must be certified by the Medical Board to be mentally or physically disabled for the further performance of his/her usual occupation; (4) the disability must have been continuous, likely to be permanent, and incurred at the time of active employment; (5) the employee must not be eligible to receive an unreduced retirement benefit from TSERS; and (6) the employee must terminate employment as a permanent, full-time employee. A general employee is eligible to receive an unreduced retirement benefit from TSERS after: (1) reaching the age of 65 and completing five years of membership service; (2) reaching the age of 60 and completing 25 years of creditable service; or (3) completing 30 years of creditable service, at any age. </w:t>
      </w:r>
    </w:p>
    <w:p w14:paraId="32511883" w14:textId="6F97B628" w:rsidR="00FD1925" w:rsidRPr="00F346C5" w:rsidRDefault="00FD1925" w:rsidP="00C715C4">
      <w:pPr>
        <w:spacing w:after="240" w:line="240" w:lineRule="auto"/>
        <w:ind w:left="720"/>
        <w:jc w:val="both"/>
        <w:rPr>
          <w:rFonts w:ascii="Aptos" w:eastAsia="Times New Roman" w:hAnsi="Aptos" w:cs="Arial"/>
        </w:rPr>
      </w:pPr>
      <w:r w:rsidRPr="00F346C5">
        <w:rPr>
          <w:rFonts w:ascii="Aptos" w:eastAsia="Times New Roman" w:hAnsi="Aptos" w:cs="Arial"/>
        </w:rPr>
        <w:lastRenderedPageBreak/>
        <w:t xml:space="preserve">For employees who had five or more years of membership service as of </w:t>
      </w:r>
      <w:r w:rsidRPr="00F346C5">
        <w:rPr>
          <w:rFonts w:ascii="Aptos" w:eastAsia="Times New Roman" w:hAnsi="Aptos" w:cs="Arial"/>
        </w:rPr>
        <w:br/>
        <w:t xml:space="preserve">July 31, 2007, during the first 36 months of the long-term disability period, the monthly long-term disability benefit is equal to 65% of one-twelfth of an employee’s annual base rate of compensation last payable to the participant or beneficiary prior to the beginning of the short-term disability period, plus the like percentage of one-twelfth of the annual longevity payment and local supplements to which the participant or beneficiary would be eligible. The monthly benefits are subject to a maximum of $3,900 per month reduced by any primary Social Security disability benefits, by an amount equal to the monthly primary Social Security retirement benefit to which the employee might be entitled should the employee be at least age 62, and by monthly payments for Workers’ Compensation to which the participant or beneficiary may be entitled, but the benefits payable shall be no less than $10 a month. After the first 36 months of the long-term disability, the long-term benefit is calculated in the same manner as described above except the monthly benefit is reduced by an amount equal to a monthly primary Social Security disability benefit to which the participant or beneficiary might be entitled had Social Security disability benefits been awarded. When an employee qualifies for an unreduced service retirement allowance from TSERS, the benefits payable from DIPNC will cease, and the employee will commence retirement under TSERS or the University Employees’ ORP. </w:t>
      </w:r>
    </w:p>
    <w:p w14:paraId="6C261B73" w14:textId="362CA3B3" w:rsidR="00FD1925" w:rsidRPr="00F346C5" w:rsidRDefault="00FD1925" w:rsidP="00C715C4">
      <w:pPr>
        <w:spacing w:after="240" w:line="240" w:lineRule="auto"/>
        <w:ind w:left="720"/>
        <w:jc w:val="both"/>
        <w:rPr>
          <w:rFonts w:ascii="Aptos" w:eastAsia="Times New Roman" w:hAnsi="Aptos" w:cs="Arial"/>
        </w:rPr>
      </w:pPr>
      <w:r w:rsidRPr="00F346C5">
        <w:rPr>
          <w:rFonts w:ascii="Aptos" w:eastAsia="Times New Roman" w:hAnsi="Aptos" w:cs="Arial"/>
        </w:rPr>
        <w:t xml:space="preserve">For employees who had less than five years of membership service as of </w:t>
      </w:r>
      <w:r w:rsidRPr="00F346C5">
        <w:rPr>
          <w:rFonts w:ascii="Aptos" w:eastAsia="Times New Roman" w:hAnsi="Aptos" w:cs="Arial"/>
        </w:rPr>
        <w:br/>
        <w:t xml:space="preserve">July 31, 2007, and meet the requirements for long-term disability on or after </w:t>
      </w:r>
      <w:r w:rsidRPr="00F346C5">
        <w:rPr>
          <w:rFonts w:ascii="Aptos" w:eastAsia="Times New Roman" w:hAnsi="Aptos" w:cs="Arial"/>
        </w:rPr>
        <w:br/>
        <w:t xml:space="preserve">August 1, 2007, benefits are calculated in the same manner as described above except that after the first 36 months of the long-term disability, no further long-term disability benefits are payable unless the employee has been approved and is in receipt of primary Social Security </w:t>
      </w:r>
      <w:r w:rsidRPr="00B531E4">
        <w:rPr>
          <w:rFonts w:ascii="Aptos" w:eastAsia="Times New Roman" w:hAnsi="Aptos" w:cs="Arial"/>
        </w:rPr>
        <w:t>disability</w:t>
      </w:r>
      <w:r w:rsidRPr="00F346C5">
        <w:rPr>
          <w:rFonts w:ascii="Aptos" w:eastAsia="Times New Roman" w:hAnsi="Aptos" w:cs="Arial"/>
        </w:rPr>
        <w:t xml:space="preserve"> benefits.</w:t>
      </w:r>
    </w:p>
    <w:p w14:paraId="0CF7FE05" w14:textId="7E95F464" w:rsidR="00FD1925" w:rsidRPr="00F346C5" w:rsidRDefault="00FD1925" w:rsidP="00C715C4">
      <w:pPr>
        <w:spacing w:after="240" w:line="240" w:lineRule="auto"/>
        <w:ind w:left="720"/>
        <w:jc w:val="both"/>
        <w:rPr>
          <w:rFonts w:ascii="Aptos" w:eastAsia="Times New Roman" w:hAnsi="Aptos" w:cs="Arial"/>
        </w:rPr>
      </w:pPr>
      <w:r w:rsidRPr="00F346C5">
        <w:rPr>
          <w:rFonts w:ascii="Aptos" w:eastAsia="Times New Roman" w:hAnsi="Aptos" w:cs="Arial"/>
        </w:rPr>
        <w:t xml:space="preserve">Benefit and contribution provisions are established by Chapter 135, Article 6, of the </w:t>
      </w:r>
      <w:r w:rsidR="00FA4A29" w:rsidRPr="009F5465">
        <w:rPr>
          <w:rFonts w:ascii="Aptos" w:eastAsia="Times New Roman" w:hAnsi="Aptos" w:cs="Arial"/>
          <w:highlight w:val="yellow"/>
        </w:rPr>
        <w:t>North Carolina</w:t>
      </w:r>
      <w:r w:rsidR="00FA4A29">
        <w:rPr>
          <w:rFonts w:ascii="Aptos" w:eastAsia="Times New Roman" w:hAnsi="Aptos" w:cs="Arial"/>
        </w:rPr>
        <w:t xml:space="preserve"> </w:t>
      </w:r>
      <w:r w:rsidRPr="00F346C5">
        <w:rPr>
          <w:rFonts w:ascii="Aptos" w:eastAsia="Times New Roman" w:hAnsi="Aptos" w:cs="Arial"/>
        </w:rPr>
        <w:t>General Statutes and may be amended only by the North Carolina General Assembly. The plan does not provide for automatic post-retirement benefit increases.</w:t>
      </w:r>
    </w:p>
    <w:p w14:paraId="20D8C762" w14:textId="4C7FA773" w:rsidR="00FD1925" w:rsidRPr="00F346C5" w:rsidRDefault="00FD1925" w:rsidP="00C715C4">
      <w:pPr>
        <w:spacing w:after="240" w:line="240" w:lineRule="auto"/>
        <w:ind w:left="720"/>
        <w:jc w:val="both"/>
        <w:rPr>
          <w:rFonts w:ascii="Aptos" w:eastAsia="Times New Roman" w:hAnsi="Aptos" w:cs="Arial"/>
        </w:rPr>
      </w:pPr>
      <w:r w:rsidRPr="00F346C5">
        <w:rPr>
          <w:rFonts w:ascii="Aptos" w:eastAsia="Times New Roman" w:hAnsi="Aptos" w:cs="Arial"/>
          <w:i/>
        </w:rPr>
        <w:t>Contributions:</w:t>
      </w:r>
      <w:r w:rsidRPr="00F346C5">
        <w:rPr>
          <w:rFonts w:ascii="Aptos" w:eastAsia="Times New Roman" w:hAnsi="Aptos" w:cs="Arial"/>
        </w:rPr>
        <w:t xml:space="preserve"> Disability income benefits are funded by actuarially determined </w:t>
      </w:r>
      <w:r w:rsidRPr="00F346C5">
        <w:rPr>
          <w:rFonts w:ascii="Aptos" w:eastAsia="Times New Roman" w:hAnsi="Aptos" w:cs="Arial"/>
        </w:rPr>
        <w:br/>
        <w:t xml:space="preserve">employer contributions that are established in the Appropriations Act by the North Carolina General Assembly and coincide with the State’s fiscal year. The College’s contractually-required contribution rate for the year ended June 30, </w:t>
      </w:r>
      <w:r w:rsidR="00FA4A29" w:rsidRPr="00F346C5">
        <w:rPr>
          <w:rFonts w:ascii="Aptos" w:eastAsia="Times New Roman" w:hAnsi="Aptos" w:cs="Arial"/>
          <w:highlight w:val="yellow"/>
        </w:rPr>
        <w:t>202</w:t>
      </w:r>
      <w:r w:rsidR="00FA4A29" w:rsidRPr="00B531E4">
        <w:rPr>
          <w:rFonts w:ascii="Aptos" w:eastAsia="Times New Roman" w:hAnsi="Aptos" w:cs="Arial"/>
          <w:highlight w:val="yellow"/>
        </w:rPr>
        <w:t>6</w:t>
      </w:r>
      <w:r w:rsidR="00FA4A29" w:rsidRPr="00F346C5">
        <w:rPr>
          <w:rFonts w:ascii="Aptos" w:eastAsia="Times New Roman" w:hAnsi="Aptos" w:cs="Arial"/>
        </w:rPr>
        <w:t xml:space="preserve"> </w:t>
      </w:r>
      <w:r w:rsidRPr="00F346C5">
        <w:rPr>
          <w:rFonts w:ascii="Aptos" w:eastAsia="Times New Roman" w:hAnsi="Aptos" w:cs="Arial"/>
        </w:rPr>
        <w:t xml:space="preserve">was </w:t>
      </w:r>
      <w:r w:rsidRPr="00F346C5">
        <w:rPr>
          <w:rFonts w:ascii="Aptos" w:eastAsia="Times New Roman" w:hAnsi="Aptos" w:cs="Arial"/>
          <w:highlight w:val="yellow"/>
        </w:rPr>
        <w:t>0.</w:t>
      </w:r>
      <w:r w:rsidR="00FA4A29">
        <w:rPr>
          <w:rFonts w:ascii="Aptos" w:eastAsia="Times New Roman" w:hAnsi="Aptos" w:cs="Arial"/>
          <w:highlight w:val="yellow"/>
        </w:rPr>
        <w:t>07</w:t>
      </w:r>
      <w:r w:rsidRPr="00F346C5">
        <w:rPr>
          <w:rFonts w:ascii="Aptos" w:eastAsia="Times New Roman" w:hAnsi="Aptos" w:cs="Arial"/>
          <w:highlight w:val="yellow"/>
        </w:rPr>
        <w:t>%</w:t>
      </w:r>
      <w:r w:rsidRPr="00F346C5">
        <w:rPr>
          <w:rFonts w:ascii="Aptos" w:eastAsia="Times New Roman" w:hAnsi="Aptos" w:cs="Arial"/>
        </w:rPr>
        <w:t xml:space="preserve"> of covered payroll. The College’s contributions to DIPNC were $______ for the year ended June 30, </w:t>
      </w:r>
      <w:r w:rsidR="00FA4A29" w:rsidRPr="00F346C5">
        <w:rPr>
          <w:rFonts w:ascii="Aptos" w:eastAsia="Times New Roman" w:hAnsi="Aptos" w:cs="Arial"/>
          <w:highlight w:val="yellow"/>
        </w:rPr>
        <w:t>202</w:t>
      </w:r>
      <w:r w:rsidR="00FA4A29" w:rsidRPr="00B531E4">
        <w:rPr>
          <w:rFonts w:ascii="Aptos" w:eastAsia="Times New Roman" w:hAnsi="Aptos" w:cs="Arial"/>
          <w:highlight w:val="yellow"/>
        </w:rPr>
        <w:t>6</w:t>
      </w:r>
      <w:r w:rsidRPr="00F346C5">
        <w:rPr>
          <w:rFonts w:ascii="Aptos" w:eastAsia="Times New Roman" w:hAnsi="Aptos" w:cs="Arial"/>
        </w:rPr>
        <w:t xml:space="preserve">. </w:t>
      </w:r>
    </w:p>
    <w:p w14:paraId="3765AB9B" w14:textId="77777777" w:rsidR="00FD1925" w:rsidRPr="00F346C5" w:rsidRDefault="00FD1925" w:rsidP="00C715C4">
      <w:pPr>
        <w:numPr>
          <w:ilvl w:val="0"/>
          <w:numId w:val="37"/>
        </w:numPr>
        <w:tabs>
          <w:tab w:val="left" w:pos="1440"/>
        </w:tabs>
        <w:spacing w:after="240" w:line="240" w:lineRule="auto"/>
        <w:ind w:left="360"/>
        <w:jc w:val="both"/>
        <w:rPr>
          <w:rFonts w:ascii="Aptos" w:eastAsia="Times New Roman" w:hAnsi="Aptos" w:cs="Arial"/>
          <w:b/>
        </w:rPr>
      </w:pPr>
      <w:r w:rsidRPr="00F346C5">
        <w:rPr>
          <w:rFonts w:ascii="Aptos" w:eastAsia="Times New Roman" w:hAnsi="Aptos" w:cs="Arial"/>
          <w:b/>
        </w:rPr>
        <w:t xml:space="preserve">Net OPEB Liability </w:t>
      </w:r>
      <w:r w:rsidRPr="00B531E4">
        <w:rPr>
          <w:rFonts w:ascii="Aptos" w:eastAsia="Times New Roman" w:hAnsi="Aptos" w:cs="Arial"/>
          <w:b/>
        </w:rPr>
        <w:t>(Asset)</w:t>
      </w:r>
    </w:p>
    <w:p w14:paraId="52752B34" w14:textId="6F4DF192" w:rsidR="00FD1925" w:rsidRPr="00F346C5" w:rsidRDefault="00FD1925" w:rsidP="00C715C4">
      <w:pPr>
        <w:spacing w:after="240" w:line="240" w:lineRule="auto"/>
        <w:ind w:left="360"/>
        <w:jc w:val="both"/>
        <w:rPr>
          <w:rFonts w:ascii="Aptos" w:eastAsia="Times New Roman" w:hAnsi="Aptos" w:cs="Arial"/>
        </w:rPr>
      </w:pPr>
      <w:r w:rsidRPr="00F346C5">
        <w:rPr>
          <w:rFonts w:ascii="Aptos" w:eastAsia="Times New Roman" w:hAnsi="Aptos" w:cs="Arial"/>
          <w:i/>
        </w:rPr>
        <w:t>Retiree Health Benefit Fund:</w:t>
      </w:r>
      <w:r w:rsidRPr="00F346C5">
        <w:rPr>
          <w:rFonts w:ascii="Aptos" w:eastAsia="Times New Roman" w:hAnsi="Aptos" w:cs="Arial"/>
        </w:rPr>
        <w:t xml:space="preserve"> At June 30, </w:t>
      </w:r>
      <w:r w:rsidR="00696309" w:rsidRPr="00F346C5">
        <w:rPr>
          <w:rFonts w:ascii="Aptos" w:eastAsia="Times New Roman" w:hAnsi="Aptos" w:cs="Arial"/>
          <w:highlight w:val="yellow"/>
        </w:rPr>
        <w:t>202</w:t>
      </w:r>
      <w:r w:rsidR="00696309" w:rsidRPr="00B531E4">
        <w:rPr>
          <w:rFonts w:ascii="Aptos" w:eastAsia="Times New Roman" w:hAnsi="Aptos" w:cs="Arial"/>
          <w:highlight w:val="yellow"/>
        </w:rPr>
        <w:t>6</w:t>
      </w:r>
      <w:r w:rsidRPr="00F346C5">
        <w:rPr>
          <w:rFonts w:ascii="Aptos" w:eastAsia="Times New Roman" w:hAnsi="Aptos" w:cs="Arial"/>
        </w:rPr>
        <w:t xml:space="preserve">, the College reported a liability of $_____ for its proportionate share of the collective net OPEB liability for RHBF. The net OPEB liability was measured as of June 30, </w:t>
      </w:r>
      <w:r w:rsidR="00710E22" w:rsidRPr="00F346C5">
        <w:rPr>
          <w:rFonts w:ascii="Aptos" w:eastAsia="Times New Roman" w:hAnsi="Aptos" w:cs="Arial"/>
          <w:highlight w:val="yellow"/>
        </w:rPr>
        <w:t>202</w:t>
      </w:r>
      <w:r w:rsidR="00710E22" w:rsidRPr="00B531E4">
        <w:rPr>
          <w:rFonts w:ascii="Aptos" w:eastAsia="Times New Roman" w:hAnsi="Aptos" w:cs="Arial"/>
          <w:highlight w:val="yellow"/>
        </w:rPr>
        <w:t>5</w:t>
      </w:r>
      <w:r w:rsidRPr="00F346C5">
        <w:rPr>
          <w:rFonts w:ascii="Aptos" w:eastAsia="Times New Roman" w:hAnsi="Aptos" w:cs="Arial"/>
        </w:rPr>
        <w:t xml:space="preserve">. The total OPEB liability used to calculate the net OPEB liability was determined by an actuarial valuation as of December 31, </w:t>
      </w:r>
      <w:r w:rsidR="00710E22" w:rsidRPr="00F346C5">
        <w:rPr>
          <w:rFonts w:ascii="Aptos" w:eastAsia="Times New Roman" w:hAnsi="Aptos" w:cs="Arial"/>
          <w:highlight w:val="yellow"/>
        </w:rPr>
        <w:t>202</w:t>
      </w:r>
      <w:r w:rsidR="00710E22" w:rsidRPr="00B531E4">
        <w:rPr>
          <w:rFonts w:ascii="Aptos" w:eastAsia="Times New Roman" w:hAnsi="Aptos" w:cs="Arial"/>
          <w:highlight w:val="yellow"/>
        </w:rPr>
        <w:t>4</w:t>
      </w:r>
      <w:r w:rsidRPr="00F346C5">
        <w:rPr>
          <w:rFonts w:ascii="Aptos" w:eastAsia="Times New Roman" w:hAnsi="Aptos" w:cs="Arial"/>
        </w:rPr>
        <w:t xml:space="preserve">, and update procedures were used to roll forward the total OPEB liability to June 30, </w:t>
      </w:r>
      <w:r w:rsidR="00710E22" w:rsidRPr="00F346C5">
        <w:rPr>
          <w:rFonts w:ascii="Aptos" w:eastAsia="Times New Roman" w:hAnsi="Aptos" w:cs="Arial"/>
          <w:highlight w:val="yellow"/>
        </w:rPr>
        <w:t>202</w:t>
      </w:r>
      <w:r w:rsidR="00710E22" w:rsidRPr="00B531E4">
        <w:rPr>
          <w:rFonts w:ascii="Aptos" w:eastAsia="Times New Roman" w:hAnsi="Aptos" w:cs="Arial"/>
          <w:highlight w:val="yellow"/>
        </w:rPr>
        <w:t>5</w:t>
      </w:r>
      <w:r w:rsidRPr="00F346C5">
        <w:rPr>
          <w:rFonts w:ascii="Aptos" w:eastAsia="Times New Roman" w:hAnsi="Aptos" w:cs="Arial"/>
        </w:rPr>
        <w:t xml:space="preserve">. The College’s proportion of the net OPEB liability was based on a projection of the present value of future salaries for the College relative to the projected present value of future salaries for all participating employers, actuarially-determined. As of June 30, </w:t>
      </w:r>
      <w:r w:rsidR="00710E22" w:rsidRPr="00F346C5">
        <w:rPr>
          <w:rFonts w:ascii="Aptos" w:eastAsia="Times New Roman" w:hAnsi="Aptos" w:cs="Arial"/>
          <w:highlight w:val="yellow"/>
        </w:rPr>
        <w:t>202</w:t>
      </w:r>
      <w:r w:rsidR="00710E22" w:rsidRPr="00B531E4">
        <w:rPr>
          <w:rFonts w:ascii="Aptos" w:eastAsia="Times New Roman" w:hAnsi="Aptos" w:cs="Arial"/>
          <w:highlight w:val="yellow"/>
        </w:rPr>
        <w:t>5</w:t>
      </w:r>
      <w:r w:rsidRPr="00F346C5">
        <w:rPr>
          <w:rFonts w:ascii="Aptos" w:eastAsia="Times New Roman" w:hAnsi="Aptos" w:cs="Arial"/>
        </w:rPr>
        <w:t xml:space="preserve">, the College’s proportion was ___%, </w:t>
      </w:r>
      <w:r w:rsidRPr="00F346C5">
        <w:rPr>
          <w:rFonts w:ascii="Aptos" w:eastAsia="Times New Roman" w:hAnsi="Aptos" w:cs="Arial"/>
        </w:rPr>
        <w:lastRenderedPageBreak/>
        <w:t xml:space="preserve">which was </w:t>
      </w:r>
      <w:r w:rsidRPr="00F346C5">
        <w:rPr>
          <w:rFonts w:ascii="Aptos" w:eastAsia="Times New Roman" w:hAnsi="Aptos" w:cs="Arial"/>
          <w:b/>
          <w:color w:val="0000FF"/>
        </w:rPr>
        <w:t>an/a</w:t>
      </w:r>
      <w:r w:rsidRPr="00F346C5">
        <w:rPr>
          <w:rFonts w:ascii="Aptos" w:eastAsia="Times New Roman" w:hAnsi="Aptos" w:cs="Arial"/>
        </w:rPr>
        <w:t xml:space="preserve"> </w:t>
      </w:r>
      <w:r w:rsidRPr="00F346C5">
        <w:rPr>
          <w:rFonts w:ascii="Aptos" w:eastAsia="Times New Roman" w:hAnsi="Aptos" w:cs="Arial"/>
          <w:b/>
          <w:color w:val="0000FF"/>
        </w:rPr>
        <w:t>[increase/decrease]</w:t>
      </w:r>
      <w:r w:rsidRPr="00F346C5">
        <w:rPr>
          <w:rFonts w:ascii="Aptos" w:eastAsia="Times New Roman" w:hAnsi="Aptos" w:cs="Arial"/>
        </w:rPr>
        <w:t xml:space="preserve"> of ___ from its proportion measured as of June 30, </w:t>
      </w:r>
      <w:r w:rsidR="00710E22" w:rsidRPr="00F346C5">
        <w:rPr>
          <w:rFonts w:ascii="Aptos" w:eastAsia="Times New Roman" w:hAnsi="Aptos" w:cs="Arial"/>
          <w:highlight w:val="yellow"/>
        </w:rPr>
        <w:t>202</w:t>
      </w:r>
      <w:r w:rsidR="00710E22" w:rsidRPr="00B531E4">
        <w:rPr>
          <w:rFonts w:ascii="Aptos" w:eastAsia="Times New Roman" w:hAnsi="Aptos" w:cs="Arial"/>
          <w:highlight w:val="yellow"/>
        </w:rPr>
        <w:t>4</w:t>
      </w:r>
      <w:r w:rsidRPr="00F346C5">
        <w:rPr>
          <w:rFonts w:ascii="Aptos" w:eastAsia="Times New Roman" w:hAnsi="Aptos" w:cs="Arial"/>
        </w:rPr>
        <w:t xml:space="preserve">, which was ____%. </w:t>
      </w:r>
    </w:p>
    <w:p w14:paraId="7407582F" w14:textId="2A640D2A" w:rsidR="00FD1925" w:rsidRPr="00F346C5" w:rsidRDefault="00FD1925" w:rsidP="00C715C4">
      <w:pPr>
        <w:tabs>
          <w:tab w:val="left" w:pos="1440"/>
        </w:tabs>
        <w:spacing w:after="240" w:line="240" w:lineRule="auto"/>
        <w:ind w:left="360"/>
        <w:jc w:val="both"/>
        <w:rPr>
          <w:rFonts w:ascii="Aptos" w:eastAsia="Times New Roman" w:hAnsi="Aptos" w:cs="Arial"/>
        </w:rPr>
      </w:pPr>
      <w:r w:rsidRPr="00F346C5">
        <w:rPr>
          <w:rFonts w:ascii="Aptos" w:eastAsia="Times New Roman" w:hAnsi="Aptos" w:cs="Arial"/>
          <w:i/>
        </w:rPr>
        <w:t>Disability Income Plan of North Carolina:</w:t>
      </w:r>
      <w:r w:rsidRPr="00F346C5">
        <w:rPr>
          <w:rFonts w:ascii="Aptos" w:eastAsia="Times New Roman" w:hAnsi="Aptos" w:cs="Arial"/>
        </w:rPr>
        <w:t xml:space="preserve"> At June 30, </w:t>
      </w:r>
      <w:r w:rsidR="00710E22" w:rsidRPr="00F346C5">
        <w:rPr>
          <w:rFonts w:ascii="Aptos" w:eastAsia="Times New Roman" w:hAnsi="Aptos" w:cs="Arial"/>
          <w:highlight w:val="yellow"/>
        </w:rPr>
        <w:t>202</w:t>
      </w:r>
      <w:r w:rsidR="00710E22" w:rsidRPr="00B531E4">
        <w:rPr>
          <w:rFonts w:ascii="Aptos" w:eastAsia="Times New Roman" w:hAnsi="Aptos" w:cs="Arial"/>
          <w:highlight w:val="yellow"/>
        </w:rPr>
        <w:t>6</w:t>
      </w:r>
      <w:r w:rsidRPr="00F346C5">
        <w:rPr>
          <w:rFonts w:ascii="Aptos" w:eastAsia="Times New Roman" w:hAnsi="Aptos" w:cs="Arial"/>
        </w:rPr>
        <w:t xml:space="preserve">, the College reported </w:t>
      </w:r>
      <w:r w:rsidRPr="00B531E4">
        <w:rPr>
          <w:rFonts w:ascii="Aptos" w:eastAsia="Times New Roman" w:hAnsi="Aptos" w:cs="Arial"/>
        </w:rPr>
        <w:t>an asset</w:t>
      </w:r>
      <w:r w:rsidRPr="00F346C5">
        <w:rPr>
          <w:rFonts w:ascii="Aptos" w:eastAsia="Times New Roman" w:hAnsi="Aptos" w:cs="Arial"/>
        </w:rPr>
        <w:t xml:space="preserve"> of $_____ for its proportionate share of the collective net OPEB </w:t>
      </w:r>
      <w:r w:rsidRPr="00B531E4">
        <w:rPr>
          <w:rFonts w:ascii="Aptos" w:eastAsia="Times New Roman" w:hAnsi="Aptos" w:cs="Arial"/>
        </w:rPr>
        <w:t>asset</w:t>
      </w:r>
      <w:r w:rsidRPr="00BC0C41">
        <w:rPr>
          <w:rFonts w:ascii="Aptos" w:eastAsia="Times New Roman" w:hAnsi="Aptos" w:cs="Arial"/>
        </w:rPr>
        <w:t xml:space="preserve"> for DIPNC. The net OPEB </w:t>
      </w:r>
      <w:r w:rsidRPr="00B531E4">
        <w:rPr>
          <w:rFonts w:ascii="Aptos" w:eastAsia="Times New Roman" w:hAnsi="Aptos" w:cs="Arial"/>
        </w:rPr>
        <w:t>asset</w:t>
      </w:r>
      <w:r w:rsidRPr="00F346C5">
        <w:rPr>
          <w:rFonts w:ascii="Aptos" w:eastAsia="Times New Roman" w:hAnsi="Aptos" w:cs="Arial"/>
        </w:rPr>
        <w:t xml:space="preserve"> was measured as of June 30, </w:t>
      </w:r>
      <w:r w:rsidR="00BC0C41" w:rsidRPr="00F346C5">
        <w:rPr>
          <w:rFonts w:ascii="Aptos" w:eastAsia="Times New Roman" w:hAnsi="Aptos" w:cs="Arial"/>
          <w:highlight w:val="yellow"/>
        </w:rPr>
        <w:t>202</w:t>
      </w:r>
      <w:r w:rsidR="00BC0C41" w:rsidRPr="00B531E4">
        <w:rPr>
          <w:rFonts w:ascii="Aptos" w:eastAsia="Times New Roman" w:hAnsi="Aptos" w:cs="Arial"/>
          <w:highlight w:val="yellow"/>
        </w:rPr>
        <w:t>5</w:t>
      </w:r>
      <w:r w:rsidRPr="00F346C5">
        <w:rPr>
          <w:rFonts w:ascii="Aptos" w:eastAsia="Times New Roman" w:hAnsi="Aptos" w:cs="Arial"/>
        </w:rPr>
        <w:t xml:space="preserve">. The total OPEB liability used to calculate the net OPEB </w:t>
      </w:r>
      <w:r w:rsidRPr="00B531E4">
        <w:rPr>
          <w:rFonts w:ascii="Aptos" w:eastAsia="Times New Roman" w:hAnsi="Aptos" w:cs="Arial"/>
        </w:rPr>
        <w:t>asset</w:t>
      </w:r>
      <w:r w:rsidRPr="00F346C5">
        <w:rPr>
          <w:rFonts w:ascii="Aptos" w:eastAsia="Times New Roman" w:hAnsi="Aptos" w:cs="Arial"/>
        </w:rPr>
        <w:t xml:space="preserve"> was determined by an actuarial valuation as of December 31, </w:t>
      </w:r>
      <w:r w:rsidR="000F0CD5" w:rsidRPr="00F346C5">
        <w:rPr>
          <w:rFonts w:ascii="Aptos" w:eastAsia="Times New Roman" w:hAnsi="Aptos" w:cs="Arial"/>
          <w:highlight w:val="yellow"/>
        </w:rPr>
        <w:t>202</w:t>
      </w:r>
      <w:r w:rsidR="000F0CD5" w:rsidRPr="00B531E4">
        <w:rPr>
          <w:rFonts w:ascii="Aptos" w:eastAsia="Times New Roman" w:hAnsi="Aptos" w:cs="Arial"/>
          <w:highlight w:val="yellow"/>
        </w:rPr>
        <w:t>4</w:t>
      </w:r>
      <w:r w:rsidRPr="00F346C5">
        <w:rPr>
          <w:rFonts w:ascii="Aptos" w:eastAsia="Times New Roman" w:hAnsi="Aptos" w:cs="Arial"/>
        </w:rPr>
        <w:t xml:space="preserve">, and update procedures were used to roll forward the total OPEB liability to June 30, </w:t>
      </w:r>
      <w:r w:rsidR="00AD5B0C" w:rsidRPr="00F346C5">
        <w:rPr>
          <w:rFonts w:ascii="Aptos" w:eastAsia="Times New Roman" w:hAnsi="Aptos" w:cs="Arial"/>
          <w:highlight w:val="yellow"/>
        </w:rPr>
        <w:t>202</w:t>
      </w:r>
      <w:r w:rsidR="00AD5B0C" w:rsidRPr="00B531E4">
        <w:rPr>
          <w:rFonts w:ascii="Aptos" w:eastAsia="Times New Roman" w:hAnsi="Aptos" w:cs="Arial"/>
          <w:highlight w:val="yellow"/>
        </w:rPr>
        <w:t>5</w:t>
      </w:r>
      <w:r w:rsidRPr="00F346C5">
        <w:rPr>
          <w:rFonts w:ascii="Aptos" w:eastAsia="Times New Roman" w:hAnsi="Aptos" w:cs="Arial"/>
        </w:rPr>
        <w:t xml:space="preserve">. The College’s proportion of the net OPEB </w:t>
      </w:r>
      <w:r w:rsidRPr="00B531E4">
        <w:rPr>
          <w:rFonts w:ascii="Aptos" w:eastAsia="Times New Roman" w:hAnsi="Aptos" w:cs="Arial"/>
        </w:rPr>
        <w:t>asset</w:t>
      </w:r>
      <w:r w:rsidRPr="00F346C5">
        <w:rPr>
          <w:rFonts w:ascii="Aptos" w:eastAsia="Times New Roman" w:hAnsi="Aptos" w:cs="Arial"/>
        </w:rPr>
        <w:t xml:space="preserve"> was based on a projection of the present value of future salaries for the College relative to the projected present value of future salaries for all participating employers, actuarially-determined. As of June 30, </w:t>
      </w:r>
      <w:r w:rsidR="00AD5B0C" w:rsidRPr="00F346C5">
        <w:rPr>
          <w:rFonts w:ascii="Aptos" w:eastAsia="Times New Roman" w:hAnsi="Aptos" w:cs="Arial"/>
          <w:highlight w:val="yellow"/>
        </w:rPr>
        <w:t>202</w:t>
      </w:r>
      <w:r w:rsidR="00AD5B0C" w:rsidRPr="00B531E4">
        <w:rPr>
          <w:rFonts w:ascii="Aptos" w:eastAsia="Times New Roman" w:hAnsi="Aptos" w:cs="Arial"/>
          <w:highlight w:val="yellow"/>
        </w:rPr>
        <w:t>5</w:t>
      </w:r>
      <w:r w:rsidRPr="00F346C5">
        <w:rPr>
          <w:rFonts w:ascii="Aptos" w:eastAsia="Times New Roman" w:hAnsi="Aptos" w:cs="Arial"/>
        </w:rPr>
        <w:t xml:space="preserve">, the College’s proportion was ___%, which was </w:t>
      </w:r>
      <w:r w:rsidRPr="00F346C5">
        <w:rPr>
          <w:rFonts w:ascii="Aptos" w:eastAsia="Times New Roman" w:hAnsi="Aptos" w:cs="Arial"/>
          <w:b/>
          <w:color w:val="0000FF"/>
        </w:rPr>
        <w:t>an/a</w:t>
      </w:r>
      <w:r w:rsidRPr="00F346C5">
        <w:rPr>
          <w:rFonts w:ascii="Aptos" w:eastAsia="Times New Roman" w:hAnsi="Aptos" w:cs="Arial"/>
        </w:rPr>
        <w:t xml:space="preserve"> </w:t>
      </w:r>
      <w:r w:rsidRPr="00F346C5">
        <w:rPr>
          <w:rFonts w:ascii="Aptos" w:eastAsia="Times New Roman" w:hAnsi="Aptos" w:cs="Arial"/>
          <w:b/>
          <w:color w:val="0000FF"/>
        </w:rPr>
        <w:t>[increase/decrease]</w:t>
      </w:r>
      <w:r w:rsidRPr="00F346C5">
        <w:rPr>
          <w:rFonts w:ascii="Aptos" w:eastAsia="Times New Roman" w:hAnsi="Aptos" w:cs="Arial"/>
        </w:rPr>
        <w:t xml:space="preserve"> of ___ from its proportion measured as of June 30, </w:t>
      </w:r>
      <w:r w:rsidR="00AD5B0C" w:rsidRPr="00F346C5">
        <w:rPr>
          <w:rFonts w:ascii="Aptos" w:eastAsia="Times New Roman" w:hAnsi="Aptos" w:cs="Arial"/>
          <w:highlight w:val="yellow"/>
        </w:rPr>
        <w:t>20</w:t>
      </w:r>
      <w:r w:rsidR="00AD5B0C" w:rsidRPr="00AD5B0C">
        <w:rPr>
          <w:rFonts w:ascii="Aptos" w:eastAsia="Times New Roman" w:hAnsi="Aptos" w:cs="Arial"/>
          <w:highlight w:val="yellow"/>
        </w:rPr>
        <w:t>2</w:t>
      </w:r>
      <w:r w:rsidR="00AD5B0C" w:rsidRPr="00B531E4">
        <w:rPr>
          <w:rFonts w:ascii="Aptos" w:eastAsia="Times New Roman" w:hAnsi="Aptos" w:cs="Arial"/>
          <w:highlight w:val="yellow"/>
        </w:rPr>
        <w:t>4</w:t>
      </w:r>
      <w:r w:rsidRPr="00F346C5">
        <w:rPr>
          <w:rFonts w:ascii="Aptos" w:eastAsia="Times New Roman" w:hAnsi="Aptos" w:cs="Arial"/>
        </w:rPr>
        <w:t>, which was ____%.</w:t>
      </w:r>
    </w:p>
    <w:p w14:paraId="58CEEB4C" w14:textId="7912ACE1" w:rsidR="00FD1925" w:rsidRPr="00F346C5" w:rsidRDefault="00FD1925" w:rsidP="00C715C4">
      <w:pPr>
        <w:tabs>
          <w:tab w:val="left" w:pos="1440"/>
        </w:tabs>
        <w:spacing w:after="240" w:line="240" w:lineRule="auto"/>
        <w:ind w:left="360"/>
        <w:jc w:val="both"/>
        <w:rPr>
          <w:rFonts w:ascii="Aptos" w:eastAsia="Times New Roman" w:hAnsi="Aptos" w:cs="Arial"/>
        </w:rPr>
      </w:pPr>
      <w:r w:rsidRPr="00F346C5">
        <w:rPr>
          <w:rFonts w:ascii="Aptos" w:eastAsia="Times New Roman" w:hAnsi="Aptos" w:cs="Arial"/>
          <w:i/>
        </w:rPr>
        <w:t>Actuarial Assumptions:</w:t>
      </w:r>
      <w:r w:rsidRPr="00F346C5">
        <w:rPr>
          <w:rFonts w:ascii="Aptos" w:eastAsia="Times New Roman" w:hAnsi="Aptos" w:cs="Arial"/>
        </w:rPr>
        <w:t xml:space="preserve"> The total OPEB liabilities for RHBF and DIPNC were determined by actuarial valuations as of December 31, </w:t>
      </w:r>
      <w:r w:rsidR="00ED062B" w:rsidRPr="00F346C5">
        <w:rPr>
          <w:rFonts w:ascii="Aptos" w:eastAsia="Times New Roman" w:hAnsi="Aptos" w:cs="Arial"/>
          <w:highlight w:val="yellow"/>
        </w:rPr>
        <w:t>202</w:t>
      </w:r>
      <w:r w:rsidR="00ED062B" w:rsidRPr="00B531E4">
        <w:rPr>
          <w:rFonts w:ascii="Aptos" w:eastAsia="Times New Roman" w:hAnsi="Aptos" w:cs="Arial"/>
          <w:highlight w:val="yellow"/>
        </w:rPr>
        <w:t>4</w:t>
      </w:r>
      <w:r w:rsidRPr="00F346C5">
        <w:rPr>
          <w:rFonts w:ascii="Aptos" w:eastAsia="Times New Roman" w:hAnsi="Aptos" w:cs="Arial"/>
        </w:rPr>
        <w:t xml:space="preserve">, using the following actuarial assumptions, applied to all periods included in the measurement, unless otherwise specified. The total OPEB liabilities were then rolled forward to June 30, </w:t>
      </w:r>
      <w:r w:rsidR="00ED062B" w:rsidRPr="00F346C5">
        <w:rPr>
          <w:rFonts w:ascii="Aptos" w:eastAsia="Times New Roman" w:hAnsi="Aptos" w:cs="Arial"/>
          <w:highlight w:val="yellow"/>
        </w:rPr>
        <w:t>202</w:t>
      </w:r>
      <w:r w:rsidR="00ED062B" w:rsidRPr="00B531E4">
        <w:rPr>
          <w:rFonts w:ascii="Aptos" w:eastAsia="Times New Roman" w:hAnsi="Aptos" w:cs="Arial"/>
          <w:highlight w:val="yellow"/>
        </w:rPr>
        <w:t>5</w:t>
      </w:r>
      <w:r w:rsidR="00ED062B" w:rsidRPr="00F346C5">
        <w:rPr>
          <w:rFonts w:ascii="Aptos" w:eastAsia="Times New Roman" w:hAnsi="Aptos" w:cs="Arial"/>
        </w:rPr>
        <w:t xml:space="preserve"> </w:t>
      </w:r>
      <w:r w:rsidRPr="00F346C5">
        <w:rPr>
          <w:rFonts w:ascii="Aptos" w:eastAsia="Times New Roman" w:hAnsi="Aptos" w:cs="Arial"/>
        </w:rPr>
        <w:t>utilizing update procedures incorporating the actuarial assumptions.</w:t>
      </w:r>
    </w:p>
    <w:bookmarkStart w:id="330" w:name="_1778910355"/>
    <w:bookmarkStart w:id="331" w:name="_Hlk199505037"/>
    <w:bookmarkEnd w:id="330"/>
    <w:bookmarkStart w:id="332" w:name="_MON_1838278905"/>
    <w:bookmarkEnd w:id="332"/>
    <w:p w14:paraId="4C48E6CB" w14:textId="5C7F2FE5" w:rsidR="00CF0BDC" w:rsidRPr="00F346C5" w:rsidRDefault="00B707EB" w:rsidP="00C715C4">
      <w:pPr>
        <w:spacing w:after="240" w:line="240" w:lineRule="auto"/>
        <w:ind w:left="360"/>
        <w:jc w:val="both"/>
        <w:rPr>
          <w:rFonts w:ascii="Aptos" w:eastAsia="Times New Roman" w:hAnsi="Aptos" w:cs="Arial"/>
        </w:rPr>
      </w:pPr>
      <w:r>
        <w:rPr>
          <w:rFonts w:ascii="Aptos" w:eastAsia="Times New Roman" w:hAnsi="Aptos" w:cs="Arial"/>
        </w:rPr>
        <w:object w:dxaOrig="10507" w:dyaOrig="8728" w14:anchorId="280FB507">
          <v:shape id="_x0000_i1052" type="#_x0000_t75" style="width:439.5pt;height:376.5pt" o:ole="">
            <v:imagedata r:id="rId81" o:title=""/>
          </v:shape>
          <o:OLEObject Type="Embed" ProgID="Excel.Sheet.12" ShapeID="_x0000_i1052" DrawAspect="Content" ObjectID="_1843297355" r:id="rId82"/>
        </w:object>
      </w:r>
      <w:bookmarkEnd w:id="331"/>
    </w:p>
    <w:p w14:paraId="62C10D7A" w14:textId="192B87E9" w:rsidR="00FD1925" w:rsidRPr="00F346C5" w:rsidRDefault="00FD1925" w:rsidP="00C715C4">
      <w:pPr>
        <w:spacing w:after="240" w:line="240" w:lineRule="auto"/>
        <w:ind w:left="360"/>
        <w:jc w:val="both"/>
        <w:rPr>
          <w:rFonts w:ascii="Aptos" w:eastAsia="Times New Roman" w:hAnsi="Aptos" w:cs="Arial"/>
        </w:rPr>
      </w:pPr>
      <w:r w:rsidRPr="00F346C5">
        <w:rPr>
          <w:rFonts w:ascii="Aptos" w:eastAsia="Times New Roman" w:hAnsi="Aptos" w:cs="Arial"/>
        </w:rPr>
        <w:lastRenderedPageBreak/>
        <w:t>The OPEB plans currently use mortality tables that vary by age, gender, employee group (i.e</w:t>
      </w:r>
      <w:r w:rsidRPr="002D24C5">
        <w:rPr>
          <w:rFonts w:ascii="Aptos" w:eastAsia="Times New Roman" w:hAnsi="Aptos" w:cs="Arial"/>
        </w:rPr>
        <w:t>.</w:t>
      </w:r>
      <w:r w:rsidRPr="00B531E4">
        <w:rPr>
          <w:rFonts w:ascii="Aptos" w:eastAsia="Times New Roman" w:hAnsi="Aptos" w:cs="Arial"/>
        </w:rPr>
        <w:t>,</w:t>
      </w:r>
      <w:r w:rsidRPr="00F346C5">
        <w:rPr>
          <w:rFonts w:ascii="Aptos" w:eastAsia="Times New Roman" w:hAnsi="Aptos" w:cs="Arial"/>
        </w:rPr>
        <w:t xml:space="preserve"> teacher, other educational employee, general employee, or law enforcement officer) and health status (i.e</w:t>
      </w:r>
      <w:r w:rsidRPr="00B707EB">
        <w:rPr>
          <w:rFonts w:ascii="Aptos" w:eastAsia="Times New Roman" w:hAnsi="Aptos" w:cs="Arial"/>
        </w:rPr>
        <w:t>.</w:t>
      </w:r>
      <w:r w:rsidRPr="00B531E4">
        <w:rPr>
          <w:rFonts w:ascii="Aptos" w:eastAsia="Times New Roman" w:hAnsi="Aptos" w:cs="Arial"/>
        </w:rPr>
        <w:t>,</w:t>
      </w:r>
      <w:r w:rsidRPr="00F346C5">
        <w:rPr>
          <w:rFonts w:ascii="Aptos" w:eastAsia="Times New Roman" w:hAnsi="Aptos" w:cs="Arial"/>
        </w:rPr>
        <w:t xml:space="preserve"> disabled or not disabled). The current mortality rates are based on published tables and studies that cover significant portions of the U.S. public plan population. The healthy mortality rates also contain a provision to reflect future mortality improvements.</w:t>
      </w:r>
    </w:p>
    <w:p w14:paraId="232EECFF" w14:textId="165D3D49" w:rsidR="00FD1925" w:rsidRPr="00F346C5" w:rsidRDefault="00FD1925" w:rsidP="00C715C4">
      <w:pPr>
        <w:spacing w:after="240" w:line="240" w:lineRule="auto"/>
        <w:ind w:left="360"/>
        <w:jc w:val="both"/>
        <w:rPr>
          <w:rFonts w:ascii="Aptos" w:eastAsia="Times New Roman" w:hAnsi="Aptos" w:cs="Arial"/>
        </w:rPr>
      </w:pPr>
      <w:r w:rsidRPr="00F346C5">
        <w:rPr>
          <w:rFonts w:ascii="Aptos" w:eastAsia="Times New Roman" w:hAnsi="Aptos" w:cs="Arial"/>
        </w:rPr>
        <w:t xml:space="preserve">The projected long-term investment returns and inflation assumptions are developed through review of current and historical capital markets data, sell-side investment research, consultant whitepapers, and historical performance of investment strategies. Fixed income return projections reflect current yields across the U.S. Treasury yield curve and market expectations of forward yields projected and interpolated for multiple tenors and over multiple year horizons. Global public equity return projections are established through analysis of the equity risk premium and the fixed income return projections. Other asset categories and strategies’ return projections reflect the foregoing and historical data analysis. These projections are combined to produce the long-term expected rate of return by weighting the expected future real rates of return by the target asset allocation percentage and by adding expected inflation. DIPNC is primarily invested in the Bond Index Investment Pool as of June 30, </w:t>
      </w:r>
      <w:r w:rsidR="00B707EB" w:rsidRPr="00F346C5">
        <w:rPr>
          <w:rFonts w:ascii="Aptos" w:eastAsia="Times New Roman" w:hAnsi="Aptos" w:cs="Arial"/>
          <w:highlight w:val="yellow"/>
        </w:rPr>
        <w:t>202</w:t>
      </w:r>
      <w:r w:rsidR="00B707EB" w:rsidRPr="00B531E4">
        <w:rPr>
          <w:rFonts w:ascii="Aptos" w:eastAsia="Times New Roman" w:hAnsi="Aptos" w:cs="Arial"/>
          <w:highlight w:val="yellow"/>
        </w:rPr>
        <w:t>5</w:t>
      </w:r>
      <w:r w:rsidRPr="00F346C5">
        <w:rPr>
          <w:rFonts w:ascii="Aptos" w:eastAsia="Times New Roman" w:hAnsi="Aptos" w:cs="Arial"/>
        </w:rPr>
        <w:t>.</w:t>
      </w:r>
    </w:p>
    <w:p w14:paraId="5A46A6C9" w14:textId="5D0E063F" w:rsidR="00FD1925" w:rsidRPr="00F346C5" w:rsidRDefault="00FD1925" w:rsidP="00C715C4">
      <w:pPr>
        <w:spacing w:after="240" w:line="240" w:lineRule="auto"/>
        <w:ind w:left="360"/>
        <w:jc w:val="both"/>
        <w:rPr>
          <w:rFonts w:ascii="Aptos" w:eastAsia="Times New Roman" w:hAnsi="Aptos" w:cs="Arial"/>
        </w:rPr>
      </w:pPr>
      <w:r w:rsidRPr="00F346C5">
        <w:rPr>
          <w:rFonts w:ascii="Aptos" w:eastAsia="Times New Roman" w:hAnsi="Aptos" w:cs="Arial"/>
        </w:rPr>
        <w:t xml:space="preserve">Best estimates of real rates of return for each major asset class included in RHBF’s target asset allocation as of June 30, </w:t>
      </w:r>
      <w:r w:rsidR="008828D1" w:rsidRPr="00F346C5">
        <w:rPr>
          <w:rFonts w:ascii="Aptos" w:eastAsia="Times New Roman" w:hAnsi="Aptos" w:cs="Arial"/>
          <w:highlight w:val="yellow"/>
        </w:rPr>
        <w:t>202</w:t>
      </w:r>
      <w:r w:rsidR="008828D1" w:rsidRPr="00B531E4">
        <w:rPr>
          <w:rFonts w:ascii="Aptos" w:eastAsia="Times New Roman" w:hAnsi="Aptos" w:cs="Arial"/>
          <w:highlight w:val="yellow"/>
        </w:rPr>
        <w:t>5</w:t>
      </w:r>
      <w:r w:rsidR="008828D1" w:rsidRPr="00F346C5">
        <w:rPr>
          <w:rFonts w:ascii="Aptos" w:eastAsia="Times New Roman" w:hAnsi="Aptos" w:cs="Arial"/>
        </w:rPr>
        <w:t xml:space="preserve"> </w:t>
      </w:r>
      <w:r w:rsidRPr="00F346C5">
        <w:rPr>
          <w:rFonts w:ascii="Aptos" w:eastAsia="Times New Roman" w:hAnsi="Aptos" w:cs="Arial"/>
        </w:rPr>
        <w:t>(the measurement date) are summarized in the following table:</w:t>
      </w:r>
    </w:p>
    <w:bookmarkStart w:id="333" w:name="_1778911193"/>
    <w:bookmarkStart w:id="334" w:name="_Hlk199505051"/>
    <w:bookmarkEnd w:id="333"/>
    <w:bookmarkStart w:id="335" w:name="_MON_1779187489"/>
    <w:bookmarkEnd w:id="335"/>
    <w:p w14:paraId="6379570B" w14:textId="3EFCBFE5" w:rsidR="00FD1925" w:rsidRPr="00F346C5" w:rsidRDefault="00145634" w:rsidP="00C715C4">
      <w:pPr>
        <w:tabs>
          <w:tab w:val="left" w:pos="1890"/>
        </w:tabs>
        <w:spacing w:after="240" w:line="240" w:lineRule="auto"/>
        <w:ind w:left="360"/>
        <w:jc w:val="center"/>
        <w:rPr>
          <w:rFonts w:ascii="Aptos" w:eastAsia="Times New Roman" w:hAnsi="Aptos" w:cs="Arial"/>
        </w:rPr>
      </w:pPr>
      <w:r w:rsidRPr="00F346C5">
        <w:rPr>
          <w:rFonts w:ascii="Aptos" w:eastAsia="Times New Roman" w:hAnsi="Aptos" w:cs="Arial"/>
        </w:rPr>
        <w:object w:dxaOrig="5829" w:dyaOrig="2302" w14:anchorId="451743C1">
          <v:shape id="_x0000_i1053" type="#_x0000_t75" style="width:267pt;height:105pt" o:ole="">
            <v:imagedata r:id="rId83" o:title=""/>
          </v:shape>
          <o:OLEObject Type="Embed" ProgID="Excel.Sheet.12" ShapeID="_x0000_i1053" DrawAspect="Content" ObjectID="_1843297356" r:id="rId84"/>
        </w:object>
      </w:r>
      <w:bookmarkEnd w:id="334"/>
    </w:p>
    <w:p w14:paraId="410D1BA9" w14:textId="68ADA56B" w:rsidR="00FD1925" w:rsidRPr="00F346C5" w:rsidRDefault="00FD1925" w:rsidP="00C715C4">
      <w:pPr>
        <w:spacing w:after="240" w:line="240" w:lineRule="auto"/>
        <w:ind w:left="360"/>
        <w:jc w:val="both"/>
        <w:rPr>
          <w:rFonts w:ascii="Aptos" w:eastAsia="Times New Roman" w:hAnsi="Aptos" w:cs="Arial"/>
        </w:rPr>
      </w:pPr>
      <w:r w:rsidRPr="00F346C5">
        <w:rPr>
          <w:rFonts w:ascii="Aptos" w:eastAsia="Times New Roman" w:hAnsi="Aptos" w:cs="Arial"/>
        </w:rPr>
        <w:t xml:space="preserve">The information in the preceding table is based on 30-year expectations developed with an investment consulting firm. The long-term nominal rates of return underlying the real rates of return are arithmetic </w:t>
      </w:r>
      <w:r w:rsidRPr="00B531E4">
        <w:rPr>
          <w:rFonts w:ascii="Aptos" w:eastAsia="Times New Roman" w:hAnsi="Aptos" w:cs="Arial"/>
        </w:rPr>
        <w:t>annual</w:t>
      </w:r>
      <w:r w:rsidRPr="00F346C5">
        <w:rPr>
          <w:rFonts w:ascii="Aptos" w:eastAsia="Times New Roman" w:hAnsi="Aptos" w:cs="Arial"/>
        </w:rPr>
        <w:t xml:space="preserve"> figures. The real rates of return are calculated from nominal rates by multiplicatively subtracting a long-term inflation assumption of </w:t>
      </w:r>
      <w:r w:rsidRPr="00B531E4">
        <w:rPr>
          <w:rFonts w:ascii="Aptos" w:eastAsia="Times New Roman" w:hAnsi="Aptos" w:cs="Arial"/>
        </w:rPr>
        <w:t>2.38</w:t>
      </w:r>
      <w:r w:rsidRPr="00F346C5">
        <w:rPr>
          <w:rFonts w:ascii="Aptos" w:eastAsia="Times New Roman" w:hAnsi="Aptos" w:cs="Arial"/>
        </w:rPr>
        <w:t xml:space="preserve">%. Return projections do not include any excess return expectations over benchmark averages </w:t>
      </w:r>
      <w:r w:rsidRPr="00B531E4">
        <w:rPr>
          <w:rFonts w:ascii="Aptos" w:eastAsia="Times New Roman" w:hAnsi="Aptos" w:cs="Arial"/>
        </w:rPr>
        <w:t>for public markets</w:t>
      </w:r>
      <w:r w:rsidRPr="00F346C5">
        <w:rPr>
          <w:rFonts w:ascii="Aptos" w:eastAsia="Times New Roman" w:hAnsi="Aptos" w:cs="Arial"/>
        </w:rPr>
        <w:t xml:space="preserve">. All rates of return and inflation are </w:t>
      </w:r>
      <w:r w:rsidRPr="00B531E4">
        <w:rPr>
          <w:rFonts w:ascii="Aptos" w:eastAsia="Times New Roman" w:hAnsi="Aptos" w:cs="Arial"/>
        </w:rPr>
        <w:t>annual amounts</w:t>
      </w:r>
      <w:r w:rsidRPr="007C05EC">
        <w:rPr>
          <w:rFonts w:ascii="Aptos" w:eastAsia="Times New Roman" w:hAnsi="Aptos" w:cs="Arial"/>
        </w:rPr>
        <w:t>.</w:t>
      </w:r>
      <w:r w:rsidRPr="00F346C5">
        <w:rPr>
          <w:rFonts w:ascii="Aptos" w:eastAsia="Times New Roman" w:hAnsi="Aptos" w:cs="Arial"/>
        </w:rPr>
        <w:t xml:space="preserve"> The long-term expected real rate of return for the Bond Index Investment Pool as of June 30, </w:t>
      </w:r>
      <w:r w:rsidR="007C05EC" w:rsidRPr="00F346C5">
        <w:rPr>
          <w:rFonts w:ascii="Aptos" w:eastAsia="Times New Roman" w:hAnsi="Aptos" w:cs="Arial"/>
          <w:highlight w:val="yellow"/>
        </w:rPr>
        <w:t>202</w:t>
      </w:r>
      <w:r w:rsidR="007C05EC" w:rsidRPr="00B531E4">
        <w:rPr>
          <w:rFonts w:ascii="Aptos" w:eastAsia="Times New Roman" w:hAnsi="Aptos" w:cs="Arial"/>
          <w:highlight w:val="yellow"/>
        </w:rPr>
        <w:t>5</w:t>
      </w:r>
      <w:r w:rsidR="007C05EC" w:rsidRPr="00F346C5">
        <w:rPr>
          <w:rFonts w:ascii="Aptos" w:eastAsia="Times New Roman" w:hAnsi="Aptos" w:cs="Arial"/>
        </w:rPr>
        <w:t xml:space="preserve"> </w:t>
      </w:r>
      <w:r w:rsidRPr="00F346C5">
        <w:rPr>
          <w:rFonts w:ascii="Aptos" w:eastAsia="Times New Roman" w:hAnsi="Aptos" w:cs="Arial"/>
        </w:rPr>
        <w:t xml:space="preserve">is </w:t>
      </w:r>
      <w:r w:rsidRPr="00F346C5">
        <w:rPr>
          <w:rFonts w:ascii="Aptos" w:eastAsia="Times New Roman" w:hAnsi="Aptos" w:cs="Arial"/>
          <w:highlight w:val="yellow"/>
        </w:rPr>
        <w:t>2.</w:t>
      </w:r>
      <w:r w:rsidR="007C05EC">
        <w:rPr>
          <w:rFonts w:ascii="Aptos" w:eastAsia="Times New Roman" w:hAnsi="Aptos" w:cs="Arial"/>
          <w:highlight w:val="yellow"/>
        </w:rPr>
        <w:t>53</w:t>
      </w:r>
      <w:r w:rsidRPr="00F346C5">
        <w:rPr>
          <w:rFonts w:ascii="Aptos" w:eastAsia="Times New Roman" w:hAnsi="Aptos" w:cs="Arial"/>
        </w:rPr>
        <w:t>%.</w:t>
      </w:r>
      <w:r w:rsidR="00164702" w:rsidRPr="00164702">
        <w:rPr>
          <w:rFonts w:ascii="Aptos" w:eastAsia="Times New Roman" w:hAnsi="Aptos" w:cs="Arial"/>
          <w:highlight w:val="yellow"/>
        </w:rPr>
        <w:t xml:space="preserve"> </w:t>
      </w:r>
      <w:r w:rsidR="00164702" w:rsidRPr="00D839CF">
        <w:rPr>
          <w:rFonts w:ascii="Aptos" w:eastAsia="Times New Roman" w:hAnsi="Aptos" w:cs="Arial"/>
          <w:highlight w:val="yellow"/>
        </w:rPr>
        <w:t>The total return for the Bond Index Investment Pool is expected to exceed the assumed investment rate of return of 3% used to measure the total OPEB liability for DIPNC. As such, the investment rate of return of 3% includes a provision for adverse deviation.</w:t>
      </w:r>
    </w:p>
    <w:p w14:paraId="2EEAF3FE" w14:textId="77777777" w:rsidR="00FD1925" w:rsidRPr="00F346C5" w:rsidRDefault="00FD1925" w:rsidP="00C715C4">
      <w:pPr>
        <w:spacing w:after="240" w:line="240" w:lineRule="auto"/>
        <w:ind w:left="360"/>
        <w:jc w:val="both"/>
        <w:rPr>
          <w:rFonts w:ascii="Aptos" w:eastAsia="Times New Roman" w:hAnsi="Aptos" w:cs="Arial"/>
        </w:rPr>
      </w:pPr>
      <w:r w:rsidRPr="00F346C5">
        <w:rPr>
          <w:rFonts w:ascii="Aptos" w:eastAsia="Times New Roman" w:hAnsi="Aptos" w:cs="Arial"/>
        </w:rPr>
        <w:t xml:space="preserve">Actuarial valuations of the plans involve estimates of the value of reported amounts and assumptions about the probability of occurrence of events far into the future. </w:t>
      </w:r>
      <w:r w:rsidRPr="00F346C5">
        <w:rPr>
          <w:rFonts w:ascii="Aptos" w:eastAsia="Calibri" w:hAnsi="Aptos" w:cs="Arial"/>
        </w:rPr>
        <w:t xml:space="preserve">The results of the valuations fluctuate from year to year as actual experience differs from assumptions. This includes demographic experiences (i.e., mortality and retirement) that differ from expected. </w:t>
      </w:r>
      <w:r w:rsidRPr="00F346C5">
        <w:rPr>
          <w:rFonts w:ascii="Aptos" w:eastAsia="Calibri" w:hAnsi="Aptos" w:cs="Arial"/>
        </w:rPr>
        <w:lastRenderedPageBreak/>
        <w:t xml:space="preserve">This also includes financial experiences (i.e., member medical costs and contributions) that vary from expected trends. </w:t>
      </w:r>
      <w:r w:rsidRPr="00F346C5">
        <w:rPr>
          <w:rFonts w:ascii="Aptos" w:eastAsia="Times New Roman" w:hAnsi="Aptos" w:cs="Arial"/>
        </w:rPr>
        <w:t xml:space="preserve">Actuarially determined amounts are subject to continual revision as actual results are compared to past expectations and new estimates are made about the future. </w:t>
      </w:r>
    </w:p>
    <w:p w14:paraId="069F29B3" w14:textId="77777777" w:rsidR="00FD1925" w:rsidRPr="00F346C5" w:rsidRDefault="00FD1925" w:rsidP="00C715C4">
      <w:pPr>
        <w:spacing w:after="240" w:line="240" w:lineRule="auto"/>
        <w:ind w:left="360"/>
        <w:jc w:val="both"/>
        <w:rPr>
          <w:rFonts w:ascii="Aptos" w:eastAsia="Times New Roman" w:hAnsi="Aptos" w:cs="Arial"/>
        </w:rPr>
      </w:pPr>
      <w:r w:rsidRPr="00F346C5">
        <w:rPr>
          <w:rFonts w:ascii="Aptos" w:eastAsia="Times New Roman" w:hAnsi="Aptos" w:cs="Arial"/>
        </w:rPr>
        <w:t xml:space="preserve">The actuarial assumptions used for RHBF are consistent with those used to value </w:t>
      </w:r>
      <w:r w:rsidRPr="00F346C5">
        <w:rPr>
          <w:rFonts w:ascii="Aptos" w:eastAsia="Times New Roman" w:hAnsi="Aptos" w:cs="Arial"/>
        </w:rPr>
        <w:br/>
        <w:t xml:space="preserve">the pension benefits of TSERS where appropriate. These assumptions are based on </w:t>
      </w:r>
      <w:r w:rsidRPr="00F346C5">
        <w:rPr>
          <w:rFonts w:ascii="Aptos" w:eastAsia="Times New Roman" w:hAnsi="Aptos" w:cs="Arial"/>
        </w:rPr>
        <w:br/>
        <w:t>the most recent pension valuations available. The discount rate used for RHBF reflects a pay-as-you-go approach.</w:t>
      </w:r>
    </w:p>
    <w:p w14:paraId="230F6403" w14:textId="77777777" w:rsidR="00FD1925" w:rsidRPr="00F346C5" w:rsidRDefault="00FD1925" w:rsidP="00C715C4">
      <w:pPr>
        <w:spacing w:after="240" w:line="240" w:lineRule="auto"/>
        <w:ind w:left="360"/>
        <w:jc w:val="both"/>
        <w:rPr>
          <w:rFonts w:ascii="Aptos" w:eastAsia="Times New Roman" w:hAnsi="Aptos" w:cs="Arial"/>
        </w:rPr>
      </w:pPr>
      <w:r w:rsidRPr="00F346C5">
        <w:rPr>
          <w:rFonts w:ascii="Aptos" w:eastAsia="Times New Roman" w:hAnsi="Aptos" w:cs="Arial"/>
        </w:rPr>
        <w:t xml:space="preserve">Projections of benefits for financial reporting purposes of the plans are based on the substantive plan (the plan as understood by the employer and plan members) and include the types of benefits provided at the time of each valuation and the historical pattern of sharing of benefit costs between the employer and plan members to that point. The RHBF is funded solely by employer contributions and benefits are dependent on membership requirements. </w:t>
      </w:r>
    </w:p>
    <w:p w14:paraId="207C9278" w14:textId="77777777" w:rsidR="00FD1925" w:rsidRPr="00F346C5" w:rsidRDefault="00FD1925" w:rsidP="00C715C4">
      <w:pPr>
        <w:spacing w:after="240" w:line="240" w:lineRule="auto"/>
        <w:ind w:left="360"/>
        <w:jc w:val="both"/>
        <w:rPr>
          <w:rFonts w:ascii="Aptos" w:eastAsia="Times New Roman" w:hAnsi="Aptos" w:cs="Arial"/>
        </w:rPr>
      </w:pPr>
      <w:r w:rsidRPr="00F346C5">
        <w:rPr>
          <w:rFonts w:ascii="Aptos" w:eastAsia="Times New Roman" w:hAnsi="Aptos" w:cs="Arial"/>
        </w:rPr>
        <w:t xml:space="preserve">The actuarial methods and assumptions used for DIPNC include techniques that are designed to reduce the effects of short-term volatility in actuarial accrued liabilities and the actuarial value of assets, consistent with the long-term perspective of the calculations. </w:t>
      </w:r>
    </w:p>
    <w:p w14:paraId="660BD517" w14:textId="68AFF55A" w:rsidR="00FD1925" w:rsidRPr="00F346C5" w:rsidRDefault="00FD1925" w:rsidP="00C715C4">
      <w:pPr>
        <w:spacing w:after="240" w:line="240" w:lineRule="auto"/>
        <w:ind w:left="360"/>
        <w:jc w:val="both"/>
        <w:rPr>
          <w:rFonts w:ascii="Aptos" w:eastAsia="Times New Roman" w:hAnsi="Aptos" w:cs="Arial"/>
        </w:rPr>
      </w:pPr>
      <w:r w:rsidRPr="00F346C5">
        <w:rPr>
          <w:rFonts w:ascii="Aptos" w:eastAsia="Times New Roman" w:hAnsi="Aptos" w:cs="Arial"/>
        </w:rPr>
        <w:t xml:space="preserve">The actuarial assumptions used in the December 31, </w:t>
      </w:r>
      <w:r w:rsidRPr="00F346C5">
        <w:rPr>
          <w:rFonts w:ascii="Aptos" w:eastAsia="Times New Roman" w:hAnsi="Aptos" w:cs="Arial"/>
          <w:highlight w:val="yellow"/>
        </w:rPr>
        <w:t>202</w:t>
      </w:r>
      <w:r w:rsidR="00164702">
        <w:rPr>
          <w:rFonts w:ascii="Aptos" w:eastAsia="Times New Roman" w:hAnsi="Aptos" w:cs="Arial"/>
          <w:highlight w:val="yellow"/>
        </w:rPr>
        <w:t>4</w:t>
      </w:r>
      <w:r w:rsidRPr="00F346C5">
        <w:rPr>
          <w:rFonts w:ascii="Aptos" w:eastAsia="Times New Roman" w:hAnsi="Aptos" w:cs="Arial"/>
        </w:rPr>
        <w:t xml:space="preserve"> valuations were generally based on the results of an actuarial experience study prepared as of December 31, 2019, as amended for updates to certain assumptions (such as medical claims and medical trend rate assumptions) implemented based on annual reviews that have occurred since that experience study. </w:t>
      </w:r>
    </w:p>
    <w:p w14:paraId="6EFAC8D7" w14:textId="56CBFCB7" w:rsidR="00FD1925" w:rsidRPr="00F346C5" w:rsidRDefault="00FD1925" w:rsidP="00C715C4">
      <w:pPr>
        <w:spacing w:after="240" w:line="240" w:lineRule="auto"/>
        <w:ind w:left="360"/>
        <w:jc w:val="both"/>
        <w:rPr>
          <w:rFonts w:ascii="Aptos" w:eastAsia="Times New Roman" w:hAnsi="Aptos" w:cs="Arial"/>
        </w:rPr>
      </w:pPr>
      <w:r w:rsidRPr="00F346C5">
        <w:rPr>
          <w:rFonts w:ascii="Aptos" w:eastAsia="Times New Roman" w:hAnsi="Aptos" w:cs="Arial"/>
          <w:i/>
        </w:rPr>
        <w:t>Discount Rate:</w:t>
      </w:r>
      <w:r w:rsidRPr="00F346C5">
        <w:rPr>
          <w:rFonts w:ascii="Aptos" w:eastAsia="Times New Roman" w:hAnsi="Aptos" w:cs="Arial"/>
        </w:rPr>
        <w:t xml:space="preserve"> The discount rate used to measure the total OPEB liability for RHBF was </w:t>
      </w:r>
      <w:r w:rsidR="002C0787">
        <w:rPr>
          <w:rFonts w:ascii="Aptos" w:eastAsia="Times New Roman" w:hAnsi="Aptos" w:cs="Arial"/>
          <w:highlight w:val="yellow"/>
        </w:rPr>
        <w:t>5</w:t>
      </w:r>
      <w:r w:rsidRPr="00F346C5">
        <w:rPr>
          <w:rFonts w:ascii="Aptos" w:eastAsia="Times New Roman" w:hAnsi="Aptos" w:cs="Arial"/>
          <w:highlight w:val="yellow"/>
        </w:rPr>
        <w:t>.</w:t>
      </w:r>
      <w:r w:rsidR="002C0787">
        <w:rPr>
          <w:rFonts w:ascii="Aptos" w:eastAsia="Times New Roman" w:hAnsi="Aptos" w:cs="Arial"/>
          <w:highlight w:val="yellow"/>
        </w:rPr>
        <w:t>2</w:t>
      </w:r>
      <w:r w:rsidRPr="00F346C5">
        <w:rPr>
          <w:rFonts w:ascii="Aptos" w:eastAsia="Times New Roman" w:hAnsi="Aptos" w:cs="Arial"/>
          <w:highlight w:val="yellow"/>
        </w:rPr>
        <w:t>%</w:t>
      </w:r>
      <w:r w:rsidRPr="00F346C5">
        <w:rPr>
          <w:rFonts w:ascii="Aptos" w:eastAsia="Times New Roman" w:hAnsi="Aptos" w:cs="Arial"/>
        </w:rPr>
        <w:t xml:space="preserve"> at June 30, </w:t>
      </w:r>
      <w:r w:rsidR="00164702" w:rsidRPr="00F346C5">
        <w:rPr>
          <w:rFonts w:ascii="Aptos" w:eastAsia="Times New Roman" w:hAnsi="Aptos" w:cs="Arial"/>
          <w:highlight w:val="yellow"/>
        </w:rPr>
        <w:t>202</w:t>
      </w:r>
      <w:r w:rsidR="00164702" w:rsidRPr="00B531E4">
        <w:rPr>
          <w:rFonts w:ascii="Aptos" w:eastAsia="Times New Roman" w:hAnsi="Aptos" w:cs="Arial"/>
          <w:highlight w:val="yellow"/>
        </w:rPr>
        <w:t>5</w:t>
      </w:r>
      <w:r w:rsidR="00164702" w:rsidRPr="00F346C5">
        <w:rPr>
          <w:rFonts w:ascii="Aptos" w:eastAsia="Times New Roman" w:hAnsi="Aptos" w:cs="Arial"/>
        </w:rPr>
        <w:t xml:space="preserve"> </w:t>
      </w:r>
      <w:r w:rsidRPr="00F346C5">
        <w:rPr>
          <w:rFonts w:ascii="Aptos" w:eastAsia="Times New Roman" w:hAnsi="Aptos" w:cs="Arial"/>
        </w:rPr>
        <w:t xml:space="preserve">compared to </w:t>
      </w:r>
      <w:r w:rsidRPr="00F346C5">
        <w:rPr>
          <w:rFonts w:ascii="Aptos" w:eastAsia="Times New Roman" w:hAnsi="Aptos" w:cs="Arial"/>
          <w:highlight w:val="yellow"/>
        </w:rPr>
        <w:t>3.</w:t>
      </w:r>
      <w:r w:rsidR="00164702">
        <w:rPr>
          <w:rFonts w:ascii="Aptos" w:eastAsia="Times New Roman" w:hAnsi="Aptos" w:cs="Arial"/>
          <w:highlight w:val="yellow"/>
        </w:rPr>
        <w:t>93</w:t>
      </w:r>
      <w:r w:rsidRPr="00F346C5">
        <w:rPr>
          <w:rFonts w:ascii="Aptos" w:eastAsia="Times New Roman" w:hAnsi="Aptos" w:cs="Arial"/>
          <w:highlight w:val="yellow"/>
        </w:rPr>
        <w:t>%</w:t>
      </w:r>
      <w:r w:rsidRPr="00F346C5">
        <w:rPr>
          <w:rFonts w:ascii="Aptos" w:eastAsia="Times New Roman" w:hAnsi="Aptos" w:cs="Arial"/>
        </w:rPr>
        <w:t xml:space="preserve"> at June 30, </w:t>
      </w:r>
      <w:r w:rsidRPr="00F346C5">
        <w:rPr>
          <w:rFonts w:ascii="Aptos" w:eastAsia="Times New Roman" w:hAnsi="Aptos" w:cs="Arial"/>
          <w:highlight w:val="yellow"/>
        </w:rPr>
        <w:t>202</w:t>
      </w:r>
      <w:r w:rsidR="00164702">
        <w:rPr>
          <w:rFonts w:ascii="Aptos" w:eastAsia="Times New Roman" w:hAnsi="Aptos" w:cs="Arial"/>
          <w:highlight w:val="yellow"/>
        </w:rPr>
        <w:t>4</w:t>
      </w:r>
      <w:r w:rsidRPr="00F346C5">
        <w:rPr>
          <w:rFonts w:ascii="Aptos" w:eastAsia="Times New Roman" w:hAnsi="Aptos" w:cs="Arial"/>
        </w:rPr>
        <w:t xml:space="preserve">. The projection of cash flow used to determine the discount rate assumed that contributions from employers would be made at the current statutorily determined contribution rate. Based on the above assumptions, the plan’s fiduciary net position was not projected to be available to make projected future benefit payments to current plan members. As a result, a municipal bond rate of </w:t>
      </w:r>
      <w:r w:rsidR="002C0787">
        <w:rPr>
          <w:rFonts w:ascii="Aptos" w:eastAsia="Times New Roman" w:hAnsi="Aptos" w:cs="Arial"/>
          <w:highlight w:val="yellow"/>
        </w:rPr>
        <w:t>5</w:t>
      </w:r>
      <w:r w:rsidRPr="00F346C5">
        <w:rPr>
          <w:rFonts w:ascii="Aptos" w:eastAsia="Times New Roman" w:hAnsi="Aptos" w:cs="Arial"/>
          <w:highlight w:val="yellow"/>
        </w:rPr>
        <w:t>.</w:t>
      </w:r>
      <w:r w:rsidR="002C0787">
        <w:rPr>
          <w:rFonts w:ascii="Aptos" w:eastAsia="Times New Roman" w:hAnsi="Aptos" w:cs="Arial"/>
          <w:highlight w:val="yellow"/>
        </w:rPr>
        <w:t>2</w:t>
      </w:r>
      <w:r w:rsidRPr="00F346C5">
        <w:rPr>
          <w:rFonts w:ascii="Aptos" w:eastAsia="Times New Roman" w:hAnsi="Aptos" w:cs="Arial"/>
          <w:highlight w:val="yellow"/>
        </w:rPr>
        <w:t>%</w:t>
      </w:r>
      <w:r w:rsidRPr="00F346C5">
        <w:rPr>
          <w:rFonts w:ascii="Aptos" w:eastAsia="Times New Roman" w:hAnsi="Aptos" w:cs="Arial"/>
        </w:rPr>
        <w:t xml:space="preserve"> was used as the discount rate used to measure the total OPEB liability. The </w:t>
      </w:r>
      <w:r w:rsidR="002C0787">
        <w:rPr>
          <w:rFonts w:ascii="Aptos" w:eastAsia="Times New Roman" w:hAnsi="Aptos" w:cs="Arial"/>
          <w:highlight w:val="yellow"/>
        </w:rPr>
        <w:t>5</w:t>
      </w:r>
      <w:r w:rsidRPr="00F346C5">
        <w:rPr>
          <w:rFonts w:ascii="Aptos" w:eastAsia="Times New Roman" w:hAnsi="Aptos" w:cs="Arial"/>
          <w:highlight w:val="yellow"/>
        </w:rPr>
        <w:t>.</w:t>
      </w:r>
      <w:r w:rsidR="002C0787">
        <w:rPr>
          <w:rFonts w:ascii="Aptos" w:eastAsia="Times New Roman" w:hAnsi="Aptos" w:cs="Arial"/>
          <w:highlight w:val="yellow"/>
        </w:rPr>
        <w:t>2</w:t>
      </w:r>
      <w:r w:rsidRPr="00F346C5">
        <w:rPr>
          <w:rFonts w:ascii="Aptos" w:eastAsia="Times New Roman" w:hAnsi="Aptos" w:cs="Arial"/>
          <w:highlight w:val="yellow"/>
        </w:rPr>
        <w:t>%</w:t>
      </w:r>
      <w:r w:rsidRPr="00F346C5">
        <w:rPr>
          <w:rFonts w:ascii="Aptos" w:eastAsia="Times New Roman" w:hAnsi="Aptos" w:cs="Arial"/>
        </w:rPr>
        <w:t xml:space="preserve"> rate is based on the Bond Buyer 20-year General Obligation Index as of June 30, </w:t>
      </w:r>
      <w:r w:rsidRPr="00F346C5">
        <w:rPr>
          <w:rFonts w:ascii="Aptos" w:eastAsia="Times New Roman" w:hAnsi="Aptos" w:cs="Arial"/>
          <w:highlight w:val="yellow"/>
        </w:rPr>
        <w:t>202</w:t>
      </w:r>
      <w:r w:rsidR="002C0787">
        <w:rPr>
          <w:rFonts w:ascii="Aptos" w:eastAsia="Times New Roman" w:hAnsi="Aptos" w:cs="Arial"/>
          <w:highlight w:val="yellow"/>
        </w:rPr>
        <w:t>5</w:t>
      </w:r>
      <w:r w:rsidRPr="00F346C5">
        <w:rPr>
          <w:rFonts w:ascii="Aptos" w:eastAsia="Times New Roman" w:hAnsi="Aptos" w:cs="Arial"/>
        </w:rPr>
        <w:t xml:space="preserve">. </w:t>
      </w:r>
    </w:p>
    <w:p w14:paraId="25F7D91E" w14:textId="5939D2C5" w:rsidR="00FD1925" w:rsidRPr="00F346C5" w:rsidRDefault="00FD1925" w:rsidP="00C715C4">
      <w:pPr>
        <w:spacing w:after="240" w:line="240" w:lineRule="auto"/>
        <w:ind w:left="360"/>
        <w:jc w:val="both"/>
        <w:rPr>
          <w:rFonts w:ascii="Aptos" w:eastAsia="Times New Roman" w:hAnsi="Aptos" w:cs="Arial"/>
        </w:rPr>
      </w:pPr>
      <w:r w:rsidRPr="00F346C5">
        <w:rPr>
          <w:rFonts w:ascii="Aptos" w:eastAsia="Times New Roman" w:hAnsi="Aptos" w:cs="Arial"/>
        </w:rPr>
        <w:t xml:space="preserve">The discount rate used to measure the total OPEB liability for DIPNC was </w:t>
      </w:r>
      <w:r w:rsidRPr="00F346C5">
        <w:rPr>
          <w:rFonts w:ascii="Aptos" w:eastAsia="Times New Roman" w:hAnsi="Aptos" w:cs="Arial"/>
          <w:highlight w:val="yellow"/>
        </w:rPr>
        <w:t>3%</w:t>
      </w:r>
      <w:r w:rsidRPr="00F346C5">
        <w:rPr>
          <w:rFonts w:ascii="Aptos" w:eastAsia="Times New Roman" w:hAnsi="Aptos" w:cs="Arial"/>
        </w:rPr>
        <w:t xml:space="preserve"> at </w:t>
      </w:r>
      <w:r w:rsidRPr="00F346C5">
        <w:rPr>
          <w:rFonts w:ascii="Aptos" w:eastAsia="Times New Roman" w:hAnsi="Aptos" w:cs="Arial"/>
        </w:rPr>
        <w:br/>
        <w:t xml:space="preserve">June 30, </w:t>
      </w:r>
      <w:r w:rsidRPr="00F346C5">
        <w:rPr>
          <w:rFonts w:ascii="Aptos" w:eastAsia="Times New Roman" w:hAnsi="Aptos" w:cs="Arial"/>
          <w:highlight w:val="yellow"/>
        </w:rPr>
        <w:t>202</w:t>
      </w:r>
      <w:r w:rsidR="007C7602">
        <w:rPr>
          <w:rFonts w:ascii="Aptos" w:eastAsia="Times New Roman" w:hAnsi="Aptos" w:cs="Arial"/>
          <w:highlight w:val="yellow"/>
        </w:rPr>
        <w:t>5</w:t>
      </w:r>
      <w:r w:rsidRPr="00F346C5">
        <w:rPr>
          <w:rFonts w:ascii="Aptos" w:eastAsia="Times New Roman" w:hAnsi="Aptos" w:cs="Arial"/>
        </w:rPr>
        <w:t xml:space="preserve"> </w:t>
      </w:r>
      <w:r w:rsidRPr="00B531E4">
        <w:rPr>
          <w:rFonts w:ascii="Aptos" w:eastAsia="Times New Roman" w:hAnsi="Aptos" w:cs="Arial"/>
        </w:rPr>
        <w:t>and</w:t>
      </w:r>
      <w:r w:rsidRPr="00F346C5">
        <w:rPr>
          <w:rFonts w:ascii="Aptos" w:eastAsia="Times New Roman" w:hAnsi="Aptos" w:cs="Arial"/>
        </w:rPr>
        <w:t xml:space="preserve"> at June 30, </w:t>
      </w:r>
      <w:r w:rsidRPr="00F346C5">
        <w:rPr>
          <w:rFonts w:ascii="Aptos" w:eastAsia="Times New Roman" w:hAnsi="Aptos" w:cs="Arial"/>
          <w:highlight w:val="yellow"/>
        </w:rPr>
        <w:t>202</w:t>
      </w:r>
      <w:r w:rsidR="007C7602">
        <w:rPr>
          <w:rFonts w:ascii="Aptos" w:eastAsia="Times New Roman" w:hAnsi="Aptos" w:cs="Arial"/>
          <w:highlight w:val="yellow"/>
        </w:rPr>
        <w:t>4</w:t>
      </w:r>
      <w:r w:rsidRPr="00F346C5">
        <w:rPr>
          <w:rFonts w:ascii="Aptos" w:eastAsia="Times New Roman" w:hAnsi="Aptos" w:cs="Arial"/>
        </w:rPr>
        <w:t xml:space="preserve">. The projection of cash flow used to determine the discount rate assumed that contributions from plan members would be made at the current contribution rate and that contributions from employers would be made at statutorily required rates, actuarially determined. Based on those assumptions, the plan’s fiduciary net position was projected to be available to make all projected future benefit payments to the current plan members. </w:t>
      </w:r>
    </w:p>
    <w:p w14:paraId="305114DD" w14:textId="77777777" w:rsidR="00FD1925" w:rsidRPr="00F346C5" w:rsidRDefault="00FD1925" w:rsidP="00C715C4">
      <w:pPr>
        <w:spacing w:after="240" w:line="240" w:lineRule="auto"/>
        <w:ind w:left="360"/>
        <w:jc w:val="both"/>
        <w:rPr>
          <w:rFonts w:ascii="Aptos" w:eastAsia="Times New Roman" w:hAnsi="Aptos" w:cs="Arial"/>
        </w:rPr>
      </w:pPr>
      <w:r w:rsidRPr="00F346C5">
        <w:rPr>
          <w:rFonts w:ascii="Aptos" w:eastAsia="Times New Roman" w:hAnsi="Aptos" w:cs="Arial"/>
          <w:i/>
        </w:rPr>
        <w:t xml:space="preserve">Sensitivity of the Net OPEB Liability </w:t>
      </w:r>
      <w:r w:rsidRPr="00B531E4">
        <w:rPr>
          <w:rFonts w:ascii="Aptos" w:eastAsia="Times New Roman" w:hAnsi="Aptos" w:cs="Arial"/>
          <w:i/>
        </w:rPr>
        <w:t>(Asset)</w:t>
      </w:r>
      <w:r w:rsidRPr="007C7602">
        <w:rPr>
          <w:rFonts w:ascii="Aptos" w:eastAsia="Times New Roman" w:hAnsi="Aptos" w:cs="Arial"/>
          <w:i/>
        </w:rPr>
        <w:t xml:space="preserve"> to Changes in the Discount Rate:</w:t>
      </w:r>
      <w:r w:rsidRPr="007C7602">
        <w:rPr>
          <w:rFonts w:ascii="Aptos" w:eastAsia="Times New Roman" w:hAnsi="Aptos" w:cs="Arial"/>
        </w:rPr>
        <w:t xml:space="preserve"> The following presents the College’s proportionate share of the net OPEB liability </w:t>
      </w:r>
      <w:r w:rsidRPr="00B531E4">
        <w:rPr>
          <w:rFonts w:ascii="Aptos" w:eastAsia="Times New Roman" w:hAnsi="Aptos" w:cs="Arial"/>
        </w:rPr>
        <w:t>(asset)</w:t>
      </w:r>
      <w:r w:rsidRPr="007C7602">
        <w:rPr>
          <w:rFonts w:ascii="Aptos" w:eastAsia="Times New Roman" w:hAnsi="Aptos" w:cs="Arial"/>
        </w:rPr>
        <w:t xml:space="preserve"> of the plans, as well as what </w:t>
      </w:r>
      <w:r w:rsidRPr="00B531E4">
        <w:rPr>
          <w:rFonts w:ascii="Aptos" w:eastAsia="Times New Roman" w:hAnsi="Aptos" w:cs="Arial"/>
        </w:rPr>
        <w:t>each</w:t>
      </w:r>
      <w:r w:rsidRPr="007C7602">
        <w:rPr>
          <w:rFonts w:ascii="Aptos" w:eastAsia="Times New Roman" w:hAnsi="Aptos" w:cs="Arial"/>
        </w:rPr>
        <w:t xml:space="preserve"> plans’ net OPEB liability </w:t>
      </w:r>
      <w:r w:rsidRPr="00B531E4">
        <w:rPr>
          <w:rFonts w:ascii="Aptos" w:eastAsia="Times New Roman" w:hAnsi="Aptos" w:cs="Arial"/>
        </w:rPr>
        <w:t>(asset)</w:t>
      </w:r>
      <w:r w:rsidRPr="007C7602">
        <w:rPr>
          <w:rFonts w:ascii="Aptos" w:eastAsia="Times New Roman" w:hAnsi="Aptos" w:cs="Arial"/>
        </w:rPr>
        <w:t xml:space="preserve"> would be if it were</w:t>
      </w:r>
      <w:r w:rsidRPr="00F346C5">
        <w:rPr>
          <w:rFonts w:ascii="Aptos" w:eastAsia="Times New Roman" w:hAnsi="Aptos" w:cs="Arial"/>
        </w:rPr>
        <w:t xml:space="preserve"> calculated using a discount rate that is 1-percentage-point lower or 1-percentage-point higher than the current discount rate:</w:t>
      </w:r>
    </w:p>
    <w:bookmarkStart w:id="336" w:name="_Hlk199505063"/>
    <w:bookmarkStart w:id="337" w:name="_MON_1808799815"/>
    <w:bookmarkEnd w:id="337"/>
    <w:p w14:paraId="319A2845" w14:textId="5A2FB1F3" w:rsidR="00FD1925" w:rsidRPr="00F346C5" w:rsidRDefault="00B06093" w:rsidP="00C715C4">
      <w:pPr>
        <w:spacing w:after="240" w:line="240" w:lineRule="auto"/>
        <w:ind w:left="360"/>
        <w:jc w:val="center"/>
        <w:rPr>
          <w:rFonts w:ascii="Aptos" w:eastAsia="Times New Roman" w:hAnsi="Aptos" w:cs="Arial"/>
          <w:i/>
        </w:rPr>
      </w:pPr>
      <w:r w:rsidRPr="00F346C5">
        <w:rPr>
          <w:rFonts w:ascii="Aptos" w:eastAsia="Times New Roman" w:hAnsi="Aptos" w:cs="Arial"/>
          <w:i/>
        </w:rPr>
        <w:object w:dxaOrig="6153" w:dyaOrig="3892" w14:anchorId="32FFB4AC">
          <v:shape id="_x0000_i1054" type="#_x0000_t75" style="width:291pt;height:184.5pt" o:ole="">
            <v:imagedata r:id="rId85" o:title=""/>
          </v:shape>
          <o:OLEObject Type="Embed" ProgID="Excel.Sheet.12" ShapeID="_x0000_i1054" DrawAspect="Content" ObjectID="_1843297357" r:id="rId86"/>
        </w:object>
      </w:r>
      <w:bookmarkEnd w:id="336"/>
    </w:p>
    <w:p w14:paraId="0207AB93" w14:textId="77777777" w:rsidR="00FD1925" w:rsidRPr="00F346C5" w:rsidRDefault="00FD1925" w:rsidP="00C715C4">
      <w:pPr>
        <w:spacing w:after="240" w:line="240" w:lineRule="auto"/>
        <w:ind w:left="360"/>
        <w:jc w:val="both"/>
        <w:rPr>
          <w:rFonts w:ascii="Aptos" w:eastAsia="Times New Roman" w:hAnsi="Aptos" w:cs="Arial"/>
        </w:rPr>
      </w:pPr>
      <w:r w:rsidRPr="00F346C5">
        <w:rPr>
          <w:rFonts w:ascii="Aptos" w:eastAsia="Times New Roman" w:hAnsi="Aptos" w:cs="Arial"/>
          <w:i/>
        </w:rPr>
        <w:t>Sensitivity of the Net OPEB Liability to Changes in the Healthcare Cost Trend Rates:</w:t>
      </w:r>
      <w:r w:rsidRPr="00F346C5">
        <w:rPr>
          <w:rFonts w:ascii="Aptos" w:eastAsia="Times New Roman" w:hAnsi="Aptos" w:cs="Arial"/>
        </w:rPr>
        <w:t xml:space="preserve"> The following presents the net OPEB liability of the plans, as well as what the plans’ net OPEB liability would be if it were calculated using healthcare cost trend rates that are </w:t>
      </w:r>
      <w:r w:rsidRPr="00F346C5">
        <w:rPr>
          <w:rFonts w:ascii="Aptos" w:eastAsia="Times New Roman" w:hAnsi="Aptos" w:cs="Arial"/>
        </w:rPr>
        <w:br/>
        <w:t>1-percentage-point lower or 1-percentage-point higher than the current healthcare cost trend rates:</w:t>
      </w:r>
    </w:p>
    <w:bookmarkStart w:id="338" w:name="_Hlk196985359"/>
    <w:bookmarkStart w:id="339" w:name="_MON_1778913160"/>
    <w:bookmarkEnd w:id="339"/>
    <w:p w14:paraId="7B4DC4F8" w14:textId="7B36682A" w:rsidR="00FD1925" w:rsidRPr="00F346C5" w:rsidRDefault="00685DCD" w:rsidP="00C715C4">
      <w:pPr>
        <w:spacing w:after="240" w:line="240" w:lineRule="auto"/>
        <w:ind w:left="360"/>
        <w:jc w:val="center"/>
        <w:rPr>
          <w:rFonts w:ascii="Aptos" w:eastAsia="Times New Roman" w:hAnsi="Aptos" w:cs="Arial"/>
        </w:rPr>
      </w:pPr>
      <w:r w:rsidRPr="00F346C5">
        <w:rPr>
          <w:rFonts w:ascii="Aptos" w:eastAsia="Times New Roman" w:hAnsi="Aptos" w:cs="Arial"/>
        </w:rPr>
        <w:object w:dxaOrig="11466" w:dyaOrig="3395" w14:anchorId="1A1EE6CB">
          <v:shape id="_x0000_i1055" type="#_x0000_t75" style="width:483pt;height:123pt" o:ole="">
            <v:imagedata r:id="rId87" o:title=""/>
            <o:lock v:ext="edit" aspectratio="f"/>
          </v:shape>
          <o:OLEObject Type="Embed" ProgID="Excel.Sheet.12" ShapeID="_x0000_i1055" DrawAspect="Content" ObjectID="_1843297358" r:id="rId88"/>
        </w:object>
      </w:r>
      <w:bookmarkEnd w:id="338"/>
    </w:p>
    <w:p w14:paraId="718A627E" w14:textId="1A57AE94" w:rsidR="00FD1925" w:rsidRPr="00F346C5" w:rsidRDefault="00FD1925" w:rsidP="00C715C4">
      <w:pPr>
        <w:spacing w:after="240" w:line="240" w:lineRule="auto"/>
        <w:ind w:left="360"/>
        <w:jc w:val="both"/>
        <w:rPr>
          <w:rFonts w:ascii="Aptos" w:eastAsia="Times New Roman" w:hAnsi="Aptos" w:cs="Arial"/>
        </w:rPr>
      </w:pPr>
      <w:r w:rsidRPr="00F346C5">
        <w:rPr>
          <w:rFonts w:ascii="Aptos" w:eastAsia="Times New Roman" w:hAnsi="Aptos" w:cs="Arial"/>
          <w:i/>
        </w:rPr>
        <w:t>OPEB Expense:</w:t>
      </w:r>
      <w:r w:rsidRPr="00F346C5">
        <w:rPr>
          <w:rFonts w:ascii="Aptos" w:eastAsia="Times New Roman" w:hAnsi="Aptos" w:cs="Arial"/>
        </w:rPr>
        <w:t xml:space="preserve"> For the fiscal year ended June 30, </w:t>
      </w:r>
      <w:r w:rsidR="008E7059" w:rsidRPr="00F346C5">
        <w:rPr>
          <w:rFonts w:ascii="Aptos" w:eastAsia="Times New Roman" w:hAnsi="Aptos" w:cs="Arial"/>
          <w:highlight w:val="yellow"/>
        </w:rPr>
        <w:t>202</w:t>
      </w:r>
      <w:r w:rsidR="008E7059" w:rsidRPr="00B531E4">
        <w:rPr>
          <w:rFonts w:ascii="Aptos" w:eastAsia="Times New Roman" w:hAnsi="Aptos" w:cs="Arial"/>
          <w:highlight w:val="yellow"/>
        </w:rPr>
        <w:t>6</w:t>
      </w:r>
      <w:r w:rsidRPr="00F346C5">
        <w:rPr>
          <w:rFonts w:ascii="Aptos" w:eastAsia="Times New Roman" w:hAnsi="Aptos" w:cs="Arial"/>
        </w:rPr>
        <w:t>, the College recognized OPEB expense as follows:</w:t>
      </w:r>
    </w:p>
    <w:p w14:paraId="64F16B0A" w14:textId="73F76CEB" w:rsidR="00FD1925" w:rsidRPr="00F346C5" w:rsidRDefault="0096747C" w:rsidP="00C715C4">
      <w:pPr>
        <w:spacing w:after="240" w:line="240" w:lineRule="auto"/>
        <w:ind w:left="360"/>
        <w:jc w:val="center"/>
        <w:rPr>
          <w:rFonts w:ascii="Aptos" w:eastAsia="Times New Roman" w:hAnsi="Aptos" w:cs="Arial"/>
          <w:i/>
        </w:rPr>
      </w:pPr>
      <w:r>
        <w:rPr>
          <w:rFonts w:ascii="Aptos" w:eastAsia="Calibri" w:hAnsi="Aptos" w:cs="Arial"/>
        </w:rPr>
        <w:object w:dxaOrig="4500" w:dyaOrig="1320" w14:anchorId="61CF9797">
          <v:shape id="_x0000_i1056" type="#_x0000_t75" style="width:225pt;height:66pt" o:ole="">
            <v:imagedata r:id="rId89" o:title=""/>
          </v:shape>
          <o:OLEObject Type="Embed" ProgID="Excel.Sheet.12" ShapeID="_x0000_i1056" DrawAspect="Content" ObjectID="_1843297359" r:id="rId90"/>
        </w:object>
      </w:r>
    </w:p>
    <w:p w14:paraId="1CA454CC" w14:textId="30D12388" w:rsidR="00FD1925" w:rsidRPr="00F346C5" w:rsidRDefault="00FD1925" w:rsidP="00C715C4">
      <w:pPr>
        <w:spacing w:after="240" w:line="240" w:lineRule="auto"/>
        <w:ind w:left="360"/>
        <w:jc w:val="both"/>
        <w:rPr>
          <w:rFonts w:ascii="Aptos" w:eastAsia="Times New Roman" w:hAnsi="Aptos" w:cs="Arial"/>
        </w:rPr>
      </w:pPr>
      <w:r w:rsidRPr="00F346C5">
        <w:rPr>
          <w:rFonts w:ascii="Aptos" w:eastAsia="Times New Roman" w:hAnsi="Aptos" w:cs="Arial"/>
          <w:i/>
        </w:rPr>
        <w:t>Deferred Outflows of Resources and Deferred Inflows of Resources Related to OPEB:</w:t>
      </w:r>
      <w:r w:rsidR="00CF0BDC" w:rsidRPr="00F346C5">
        <w:rPr>
          <w:rFonts w:ascii="Aptos" w:eastAsia="Times New Roman" w:hAnsi="Aptos" w:cs="Arial"/>
          <w:i/>
        </w:rPr>
        <w:t xml:space="preserve"> </w:t>
      </w:r>
      <w:r w:rsidRPr="00F346C5">
        <w:rPr>
          <w:rFonts w:ascii="Aptos" w:eastAsia="Times New Roman" w:hAnsi="Aptos" w:cs="Arial"/>
        </w:rPr>
        <w:t>At</w:t>
      </w:r>
      <w:r w:rsidR="00CF0BDC" w:rsidRPr="00F346C5">
        <w:rPr>
          <w:rFonts w:ascii="Aptos" w:eastAsia="Times New Roman" w:hAnsi="Aptos" w:cs="Arial"/>
        </w:rPr>
        <w:t xml:space="preserve"> </w:t>
      </w:r>
      <w:r w:rsidR="00C715C4">
        <w:rPr>
          <w:rFonts w:ascii="Aptos" w:eastAsia="Times New Roman" w:hAnsi="Aptos" w:cs="Arial"/>
        </w:rPr>
        <w:br/>
      </w:r>
      <w:r w:rsidRPr="00F346C5">
        <w:rPr>
          <w:rFonts w:ascii="Aptos" w:eastAsia="Times New Roman" w:hAnsi="Aptos" w:cs="Arial"/>
        </w:rPr>
        <w:t xml:space="preserve">June 30, </w:t>
      </w:r>
      <w:r w:rsidR="008E7059" w:rsidRPr="00F346C5">
        <w:rPr>
          <w:rFonts w:ascii="Aptos" w:eastAsia="Times New Roman" w:hAnsi="Aptos" w:cs="Arial"/>
          <w:highlight w:val="yellow"/>
        </w:rPr>
        <w:t>202</w:t>
      </w:r>
      <w:r w:rsidR="008E7059" w:rsidRPr="00B531E4">
        <w:rPr>
          <w:rFonts w:ascii="Aptos" w:eastAsia="Times New Roman" w:hAnsi="Aptos" w:cs="Arial"/>
          <w:highlight w:val="yellow"/>
        </w:rPr>
        <w:t>6</w:t>
      </w:r>
      <w:r w:rsidRPr="00F346C5">
        <w:rPr>
          <w:rFonts w:ascii="Aptos" w:eastAsia="Times New Roman" w:hAnsi="Aptos" w:cs="Arial"/>
        </w:rPr>
        <w:t>, the College reported deferred outflows of resources and deferred inflows of resources related to OPEB from the following sources:</w:t>
      </w:r>
    </w:p>
    <w:bookmarkStart w:id="340" w:name="_Hlk199505110"/>
    <w:bookmarkStart w:id="341" w:name="_MON_1808716557"/>
    <w:bookmarkEnd w:id="341"/>
    <w:p w14:paraId="6755DABE" w14:textId="5BFDAFE2" w:rsidR="00FD1925" w:rsidRPr="00F346C5" w:rsidRDefault="006C6BE6" w:rsidP="00C715C4">
      <w:pPr>
        <w:spacing w:after="240" w:line="240" w:lineRule="auto"/>
        <w:ind w:left="360"/>
        <w:jc w:val="center"/>
        <w:rPr>
          <w:rFonts w:ascii="Aptos" w:eastAsia="Calibri" w:hAnsi="Aptos" w:cs="Arial"/>
        </w:rPr>
      </w:pPr>
      <w:r w:rsidRPr="00F346C5">
        <w:rPr>
          <w:rFonts w:ascii="Aptos" w:eastAsia="Calibri" w:hAnsi="Aptos" w:cs="Arial"/>
        </w:rPr>
        <w:object w:dxaOrig="10269" w:dyaOrig="5666" w14:anchorId="6E2C1F68">
          <v:shape id="_x0000_i1057" type="#_x0000_t75" style="width:438pt;height:242.25pt" o:ole="">
            <v:imagedata r:id="rId91" o:title=""/>
          </v:shape>
          <o:OLEObject Type="Embed" ProgID="Excel.Sheet.12" ShapeID="_x0000_i1057" DrawAspect="Content" ObjectID="_1843297360" r:id="rId92"/>
        </w:object>
      </w:r>
      <w:bookmarkEnd w:id="340"/>
    </w:p>
    <w:bookmarkStart w:id="342" w:name="_Hlk199505116"/>
    <w:bookmarkStart w:id="343" w:name="_MON_1807598402"/>
    <w:bookmarkEnd w:id="343"/>
    <w:p w14:paraId="63B5938C" w14:textId="0D64F857" w:rsidR="00FD1925" w:rsidRPr="00F346C5" w:rsidRDefault="006C6BE6" w:rsidP="00C715C4">
      <w:pPr>
        <w:spacing w:after="240" w:line="240" w:lineRule="auto"/>
        <w:ind w:left="360"/>
        <w:jc w:val="center"/>
        <w:rPr>
          <w:rFonts w:ascii="Aptos" w:eastAsia="Calibri" w:hAnsi="Aptos" w:cs="Arial"/>
        </w:rPr>
      </w:pPr>
      <w:r w:rsidRPr="00F346C5">
        <w:rPr>
          <w:rFonts w:ascii="Aptos" w:eastAsia="Calibri" w:hAnsi="Aptos" w:cs="Arial"/>
        </w:rPr>
        <w:object w:dxaOrig="10269" w:dyaOrig="4113" w14:anchorId="2DBDBC70">
          <v:shape id="_x0000_i1058" type="#_x0000_t75" style="width:438pt;height:177pt" o:ole="">
            <v:imagedata r:id="rId93" o:title=""/>
          </v:shape>
          <o:OLEObject Type="Embed" ProgID="Excel.Sheet.12" ShapeID="_x0000_i1058" DrawAspect="Content" ObjectID="_1843297361" r:id="rId94"/>
        </w:object>
      </w:r>
      <w:bookmarkEnd w:id="342"/>
    </w:p>
    <w:p w14:paraId="47EA4A9C" w14:textId="624CE1FC" w:rsidR="00FD1925" w:rsidRPr="00F346C5" w:rsidRDefault="00FD1925" w:rsidP="00C715C4">
      <w:pPr>
        <w:tabs>
          <w:tab w:val="left" w:pos="1890"/>
        </w:tabs>
        <w:spacing w:after="240" w:line="240" w:lineRule="auto"/>
        <w:ind w:left="360"/>
        <w:jc w:val="both"/>
        <w:rPr>
          <w:rFonts w:ascii="Aptos" w:eastAsia="Calibri" w:hAnsi="Aptos" w:cs="Arial"/>
        </w:rPr>
      </w:pPr>
      <w:r w:rsidRPr="00F346C5">
        <w:rPr>
          <w:rFonts w:ascii="Aptos" w:eastAsia="Times New Roman" w:hAnsi="Aptos" w:cs="Arial"/>
        </w:rPr>
        <w:t xml:space="preserve">Amounts reported as deferred outflows of resources related to contributions subsequent to the measurement date will be recognized </w:t>
      </w:r>
      <w:r w:rsidRPr="00217D3B">
        <w:rPr>
          <w:rFonts w:ascii="Aptos" w:eastAsia="Times New Roman" w:hAnsi="Aptos" w:cs="Arial"/>
        </w:rPr>
        <w:t xml:space="preserve">as </w:t>
      </w:r>
      <w:r w:rsidRPr="00B531E4">
        <w:rPr>
          <w:rFonts w:ascii="Aptos" w:eastAsia="Times New Roman" w:hAnsi="Aptos" w:cs="Arial"/>
        </w:rPr>
        <w:t>a reduction</w:t>
      </w:r>
      <w:r w:rsidRPr="00217D3B">
        <w:rPr>
          <w:rFonts w:ascii="Aptos" w:eastAsia="Times New Roman" w:hAnsi="Aptos" w:cs="Arial"/>
        </w:rPr>
        <w:t xml:space="preserve"> of the net OPEB </w:t>
      </w:r>
      <w:r w:rsidRPr="00B531E4">
        <w:rPr>
          <w:rFonts w:ascii="Aptos" w:eastAsia="Times New Roman" w:hAnsi="Aptos" w:cs="Arial"/>
        </w:rPr>
        <w:t>liability</w:t>
      </w:r>
      <w:r w:rsidRPr="00217D3B">
        <w:rPr>
          <w:rFonts w:ascii="Aptos" w:eastAsia="Times New Roman" w:hAnsi="Aptos" w:cs="Arial"/>
        </w:rPr>
        <w:t xml:space="preserve"> related to RHBF and </w:t>
      </w:r>
      <w:r w:rsidRPr="00B531E4">
        <w:rPr>
          <w:rFonts w:ascii="Aptos" w:eastAsia="Times New Roman" w:hAnsi="Aptos" w:cs="Arial"/>
        </w:rPr>
        <w:t>an increase of the net OPEB asset related to</w:t>
      </w:r>
      <w:r w:rsidRPr="00217D3B">
        <w:rPr>
          <w:rFonts w:ascii="Aptos" w:eastAsia="Times New Roman" w:hAnsi="Aptos" w:cs="Arial"/>
        </w:rPr>
        <w:t xml:space="preserve"> DIPNC in the fiscal</w:t>
      </w:r>
      <w:r w:rsidRPr="00F346C5">
        <w:rPr>
          <w:rFonts w:ascii="Aptos" w:eastAsia="Times New Roman" w:hAnsi="Aptos" w:cs="Arial"/>
        </w:rPr>
        <w:t xml:space="preserve"> year ending </w:t>
      </w:r>
      <w:r w:rsidR="00C715C4">
        <w:rPr>
          <w:rFonts w:ascii="Aptos" w:eastAsia="Times New Roman" w:hAnsi="Aptos" w:cs="Arial"/>
        </w:rPr>
        <w:br/>
      </w:r>
      <w:r w:rsidRPr="00F346C5">
        <w:rPr>
          <w:rFonts w:ascii="Aptos" w:eastAsia="Times New Roman" w:hAnsi="Aptos" w:cs="Arial"/>
        </w:rPr>
        <w:t xml:space="preserve">June 30, </w:t>
      </w:r>
      <w:r w:rsidR="006C6BE6" w:rsidRPr="00F346C5">
        <w:rPr>
          <w:rFonts w:ascii="Aptos" w:eastAsia="Times New Roman" w:hAnsi="Aptos" w:cs="Arial"/>
          <w:highlight w:val="yellow"/>
        </w:rPr>
        <w:t>202</w:t>
      </w:r>
      <w:r w:rsidR="006C6BE6" w:rsidRPr="00B531E4">
        <w:rPr>
          <w:rFonts w:ascii="Aptos" w:eastAsia="Times New Roman" w:hAnsi="Aptos" w:cs="Arial"/>
          <w:highlight w:val="yellow"/>
        </w:rPr>
        <w:t>7</w:t>
      </w:r>
      <w:r w:rsidRPr="00F346C5">
        <w:rPr>
          <w:rFonts w:ascii="Aptos" w:eastAsia="Times New Roman" w:hAnsi="Aptos" w:cs="Arial"/>
        </w:rPr>
        <w:t>.</w:t>
      </w:r>
      <w:r w:rsidRPr="00F346C5">
        <w:rPr>
          <w:rFonts w:ascii="Aptos" w:eastAsia="Calibri" w:hAnsi="Aptos" w:cs="Arial"/>
        </w:rPr>
        <w:t xml:space="preserve"> Other amounts reported as deferred outflows of resources and deferred inflows of resources related to OPEB will be recognized as OPEB expense as follows: </w:t>
      </w:r>
    </w:p>
    <w:bookmarkStart w:id="344" w:name="_Hlk199505124"/>
    <w:bookmarkStart w:id="345" w:name="_MON_1843049187"/>
    <w:bookmarkEnd w:id="345"/>
    <w:p w14:paraId="781994AA" w14:textId="1163C001" w:rsidR="00CF0BDC" w:rsidRPr="00F346C5" w:rsidRDefault="00217D3B" w:rsidP="00C715C4">
      <w:pPr>
        <w:spacing w:after="240" w:line="240" w:lineRule="auto"/>
        <w:jc w:val="center"/>
        <w:rPr>
          <w:rFonts w:ascii="Aptos" w:eastAsia="Calibri" w:hAnsi="Aptos" w:cs="Arial"/>
          <w:b/>
          <w:i/>
          <w:color w:val="0000FF"/>
        </w:rPr>
      </w:pPr>
      <w:r w:rsidRPr="00F346C5">
        <w:rPr>
          <w:rFonts w:ascii="Aptos" w:eastAsia="Calibri" w:hAnsi="Aptos" w:cs="Arial"/>
          <w:b/>
          <w:i/>
          <w:color w:val="0000FF"/>
        </w:rPr>
        <w:object w:dxaOrig="5452" w:dyaOrig="5556" w14:anchorId="5A5D45FF">
          <v:shape id="_x0000_i1059" type="#_x0000_t75" style="width:246.75pt;height:250.5pt" o:ole="">
            <v:imagedata r:id="rId95" o:title=""/>
          </v:shape>
          <o:OLEObject Type="Embed" ProgID="Excel.Sheet.12" ShapeID="_x0000_i1059" DrawAspect="Content" ObjectID="_1843297362" r:id="rId96"/>
        </w:object>
      </w:r>
      <w:bookmarkEnd w:id="344"/>
    </w:p>
    <w:p w14:paraId="470FBD29" w14:textId="77777777" w:rsidR="009D62EA" w:rsidRPr="00F346C5" w:rsidRDefault="009D62EA"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bookmarkStart w:id="346" w:name="_MON_1779767594"/>
      <w:bookmarkEnd w:id="346"/>
      <w:r w:rsidRPr="00F346C5">
        <w:rPr>
          <w:rFonts w:ascii="Aptos" w:eastAsia="Times New Roman" w:hAnsi="Aptos" w:cs="Times New Roman"/>
          <w:b/>
          <w:kern w:val="28"/>
        </w:rPr>
        <w:t>Note 16</w:t>
      </w:r>
      <w:r w:rsidRPr="00F346C5">
        <w:rPr>
          <w:rFonts w:ascii="Aptos" w:eastAsia="Times New Roman" w:hAnsi="Aptos" w:cs="Times New Roman"/>
          <w:b/>
          <w:kern w:val="28"/>
        </w:rPr>
        <w:tab/>
        <w:t>-</w:t>
      </w:r>
      <w:r w:rsidRPr="00F346C5">
        <w:rPr>
          <w:rFonts w:ascii="Aptos" w:eastAsia="Times New Roman" w:hAnsi="Aptos" w:cs="Times New Roman"/>
          <w:b/>
          <w:kern w:val="28"/>
        </w:rPr>
        <w:tab/>
        <w:t>Risk Management</w:t>
      </w:r>
    </w:p>
    <w:p w14:paraId="41D895C0" w14:textId="77777777" w:rsidR="009D62EA" w:rsidRPr="00F346C5" w:rsidRDefault="009D62EA" w:rsidP="009D62EA">
      <w:pPr>
        <w:spacing w:after="240" w:line="240" w:lineRule="auto"/>
        <w:jc w:val="both"/>
        <w:rPr>
          <w:rFonts w:ascii="Aptos" w:eastAsia="Times New Roman" w:hAnsi="Aptos" w:cs="Arial"/>
          <w:b/>
          <w:bCs/>
          <w:i/>
          <w:iCs/>
          <w:color w:val="0000FF"/>
        </w:rPr>
      </w:pPr>
      <w:r w:rsidRPr="00F346C5">
        <w:rPr>
          <w:rFonts w:ascii="Aptos" w:eastAsia="Times New Roman" w:hAnsi="Aptos" w:cs="Arial"/>
        </w:rPr>
        <w:t xml:space="preserve">The College is exposed to various risks of loss related to torts; theft of, damage to, and destruction of assets; errors and omissions; injuries to employees; and natural disasters. These exposures to loss are handled via a combination of methods, including participation in state-administered insurance programs, purchase of commercial insurance, and self-retention of certain risks. There have been no significant reductions in insurance coverage from the previous year and settled claims have not exceeded coverage in any of the past three fiscal years. </w:t>
      </w:r>
      <w:r w:rsidRPr="00F346C5">
        <w:rPr>
          <w:rFonts w:ascii="Aptos" w:eastAsia="Times New Roman" w:hAnsi="Aptos" w:cs="Arial"/>
          <w:b/>
          <w:bCs/>
          <w:i/>
          <w:iCs/>
          <w:color w:val="0000FF"/>
        </w:rPr>
        <w:t>[Revise previous sentence as necessary.]</w:t>
      </w:r>
    </w:p>
    <w:p w14:paraId="2CF5C802" w14:textId="77777777" w:rsidR="009D62EA" w:rsidRPr="00F346C5" w:rsidRDefault="009D62EA" w:rsidP="009D62EA">
      <w:pPr>
        <w:numPr>
          <w:ilvl w:val="0"/>
          <w:numId w:val="26"/>
        </w:numPr>
        <w:spacing w:after="240" w:line="240" w:lineRule="auto"/>
        <w:ind w:left="360"/>
        <w:jc w:val="both"/>
        <w:rPr>
          <w:rFonts w:ascii="Aptos" w:eastAsia="Times New Roman" w:hAnsi="Aptos" w:cs="Arial"/>
          <w:b/>
          <w:bCs/>
          <w:iCs/>
        </w:rPr>
      </w:pPr>
      <w:r w:rsidRPr="00F346C5">
        <w:rPr>
          <w:rFonts w:ascii="Aptos" w:eastAsia="Times New Roman" w:hAnsi="Aptos" w:cs="Arial"/>
          <w:b/>
          <w:bCs/>
          <w:iCs/>
        </w:rPr>
        <w:t xml:space="preserve">Public Entity Risk Pool </w:t>
      </w:r>
    </w:p>
    <w:p w14:paraId="6C06C5B9" w14:textId="77777777" w:rsidR="009D62EA" w:rsidRPr="00F346C5" w:rsidRDefault="009D62EA" w:rsidP="009D62EA">
      <w:pPr>
        <w:spacing w:after="240" w:line="240" w:lineRule="auto"/>
        <w:ind w:left="360"/>
        <w:jc w:val="both"/>
        <w:rPr>
          <w:rFonts w:ascii="Aptos" w:eastAsia="Times New Roman" w:hAnsi="Aptos" w:cs="Arial"/>
          <w:b/>
          <w:bCs/>
          <w:iCs/>
        </w:rPr>
      </w:pPr>
      <w:r w:rsidRPr="00F346C5">
        <w:rPr>
          <w:rFonts w:ascii="Aptos" w:eastAsia="Times New Roman" w:hAnsi="Aptos" w:cs="Arial"/>
          <w:b/>
          <w:bCs/>
          <w:iCs/>
        </w:rPr>
        <w:t>State Public Education Property Insurance Fund</w:t>
      </w:r>
    </w:p>
    <w:p w14:paraId="5ADC319B" w14:textId="6E4F69F2" w:rsidR="009D62EA" w:rsidRPr="00F346C5" w:rsidRDefault="009D62EA" w:rsidP="009D62EA">
      <w:pPr>
        <w:spacing w:after="240" w:line="240" w:lineRule="auto"/>
        <w:ind w:left="360"/>
        <w:jc w:val="both"/>
        <w:rPr>
          <w:rFonts w:ascii="Aptos" w:eastAsia="Times New Roman" w:hAnsi="Aptos" w:cs="Arial"/>
          <w:b/>
          <w:i/>
          <w:color w:val="0000FF"/>
        </w:rPr>
      </w:pPr>
      <w:r w:rsidRPr="00F346C5">
        <w:rPr>
          <w:rFonts w:ascii="Aptos" w:eastAsia="Times New Roman" w:hAnsi="Aptos" w:cs="Arial"/>
        </w:rPr>
        <w:t>Fire and other property losses are covered by the State Public Education Property Insurance Fund (Fund), a state-administered public entity risk pool. The Fund is financed by premiums and interest collected through membership participation and retains a $10,000,000 deductible per occurrence. Reinsurance is purchased by the Fund to cover catastrophic events in excess of the $10,000,000 deductible. Membership insured property is covered under an all risk coverage contract.</w:t>
      </w:r>
      <w:r w:rsidRPr="00F346C5">
        <w:rPr>
          <w:rFonts w:ascii="Aptos" w:hAnsi="Aptos" w:cs="Arial"/>
        </w:rPr>
        <w:t xml:space="preserve"> Each member selects the deductible that will be applicable to their losses, and this deductible ranges </w:t>
      </w:r>
      <w:r w:rsidRPr="005666A2">
        <w:rPr>
          <w:rFonts w:ascii="Aptos" w:hAnsi="Aptos" w:cs="Arial"/>
        </w:rPr>
        <w:t xml:space="preserve">from </w:t>
      </w:r>
      <w:r w:rsidRPr="00B531E4">
        <w:rPr>
          <w:rFonts w:ascii="Aptos" w:hAnsi="Aptos" w:cs="Arial"/>
        </w:rPr>
        <w:t>$1</w:t>
      </w:r>
      <w:r w:rsidR="00E1016F" w:rsidRPr="00B531E4">
        <w:rPr>
          <w:rFonts w:ascii="Aptos" w:hAnsi="Aptos" w:cs="Arial"/>
        </w:rPr>
        <w:t>0</w:t>
      </w:r>
      <w:r w:rsidRPr="00B531E4">
        <w:rPr>
          <w:rFonts w:ascii="Aptos" w:hAnsi="Aptos" w:cs="Arial"/>
        </w:rPr>
        <w:t>,000 to $5</w:t>
      </w:r>
      <w:r w:rsidR="00E1016F" w:rsidRPr="00B531E4">
        <w:rPr>
          <w:rFonts w:ascii="Aptos" w:hAnsi="Aptos" w:cs="Arial"/>
        </w:rPr>
        <w:t>0</w:t>
      </w:r>
      <w:r w:rsidRPr="00B531E4">
        <w:rPr>
          <w:rFonts w:ascii="Aptos" w:hAnsi="Aptos" w:cs="Arial"/>
        </w:rPr>
        <w:t>,000</w:t>
      </w:r>
      <w:r w:rsidRPr="005666A2">
        <w:rPr>
          <w:rFonts w:ascii="Aptos" w:hAnsi="Aptos" w:cs="Arial"/>
        </w:rPr>
        <w:t>.</w:t>
      </w:r>
      <w:r w:rsidRPr="00F346C5">
        <w:rPr>
          <w:rFonts w:ascii="Aptos" w:hAnsi="Aptos" w:cs="Arial"/>
        </w:rPr>
        <w:t xml:space="preserve"> </w:t>
      </w:r>
      <w:r w:rsidRPr="00F346C5">
        <w:rPr>
          <w:rFonts w:ascii="Aptos" w:eastAsia="Times New Roman" w:hAnsi="Aptos" w:cs="Arial"/>
        </w:rPr>
        <w:t xml:space="preserve">Building and contents are valued under a replacement cost basis. No coinsurance penalties apply. </w:t>
      </w:r>
      <w:r w:rsidRPr="00F346C5">
        <w:rPr>
          <w:rFonts w:ascii="Aptos" w:eastAsia="Times New Roman" w:hAnsi="Aptos" w:cs="Arial"/>
          <w:b/>
          <w:i/>
          <w:color w:val="0000FF"/>
        </w:rPr>
        <w:t>[Modify/Remove as necessary.]</w:t>
      </w:r>
    </w:p>
    <w:p w14:paraId="4C67FA9F" w14:textId="77777777" w:rsidR="009D62EA" w:rsidRPr="00F346C5" w:rsidRDefault="009D62EA" w:rsidP="009D62EA">
      <w:pPr>
        <w:numPr>
          <w:ilvl w:val="0"/>
          <w:numId w:val="26"/>
        </w:numPr>
        <w:spacing w:after="240" w:line="240" w:lineRule="auto"/>
        <w:ind w:left="360"/>
        <w:jc w:val="both"/>
        <w:rPr>
          <w:rFonts w:ascii="Aptos" w:eastAsia="Times New Roman" w:hAnsi="Aptos" w:cs="Arial"/>
          <w:b/>
          <w:bCs/>
          <w:iCs/>
        </w:rPr>
      </w:pPr>
      <w:r w:rsidRPr="00F346C5">
        <w:rPr>
          <w:rFonts w:ascii="Aptos" w:eastAsia="Times New Roman" w:hAnsi="Aptos" w:cs="Arial"/>
          <w:b/>
          <w:bCs/>
          <w:iCs/>
        </w:rPr>
        <w:t>Employee Benefit Plans</w:t>
      </w:r>
    </w:p>
    <w:p w14:paraId="4C069481" w14:textId="77777777" w:rsidR="009D62EA" w:rsidRPr="00F346C5" w:rsidRDefault="009D62EA" w:rsidP="009D62EA">
      <w:pPr>
        <w:spacing w:after="240" w:line="240" w:lineRule="auto"/>
        <w:ind w:left="720" w:hanging="360"/>
        <w:jc w:val="both"/>
        <w:rPr>
          <w:rFonts w:ascii="Aptos" w:eastAsia="Times New Roman" w:hAnsi="Aptos" w:cs="Arial"/>
          <w:b/>
        </w:rPr>
      </w:pPr>
      <w:r w:rsidRPr="00F346C5">
        <w:rPr>
          <w:rFonts w:ascii="Aptos" w:eastAsia="Times New Roman" w:hAnsi="Aptos" w:cs="Arial"/>
          <w:b/>
        </w:rPr>
        <w:t>1.</w:t>
      </w:r>
      <w:r w:rsidRPr="00F346C5">
        <w:rPr>
          <w:rFonts w:ascii="Aptos" w:eastAsia="Times New Roman" w:hAnsi="Aptos" w:cs="Arial"/>
          <w:b/>
        </w:rPr>
        <w:tab/>
        <w:t>State Health Plan</w:t>
      </w:r>
    </w:p>
    <w:p w14:paraId="337C0489" w14:textId="77777777" w:rsidR="009D62EA" w:rsidRPr="00F346C5" w:rsidRDefault="009D62EA" w:rsidP="009D62EA">
      <w:pPr>
        <w:spacing w:after="240" w:line="240" w:lineRule="auto"/>
        <w:ind w:left="720"/>
        <w:jc w:val="both"/>
        <w:rPr>
          <w:rFonts w:ascii="Aptos" w:eastAsia="Times New Roman" w:hAnsi="Aptos" w:cs="Arial"/>
        </w:rPr>
      </w:pPr>
      <w:r w:rsidRPr="00F346C5">
        <w:rPr>
          <w:rFonts w:ascii="Aptos" w:eastAsia="Times New Roman" w:hAnsi="Aptos" w:cs="Arial"/>
        </w:rPr>
        <w:lastRenderedPageBreak/>
        <w:t xml:space="preserve">College employees are provided comprehensive major medical care benefits. Coverage is funded by contributions to the State Health Plan (Plan), a </w:t>
      </w:r>
      <w:bookmarkStart w:id="347" w:name="CompUnitChange"/>
      <w:r w:rsidRPr="00F346C5">
        <w:rPr>
          <w:rFonts w:ascii="Aptos" w:eastAsia="Times New Roman" w:hAnsi="Aptos" w:cs="Arial"/>
        </w:rPr>
        <w:t>discretely presented component unit</w:t>
      </w:r>
      <w:bookmarkEnd w:id="347"/>
      <w:r w:rsidRPr="00F346C5">
        <w:rPr>
          <w:rFonts w:ascii="Aptos" w:eastAsia="Times New Roman" w:hAnsi="Aptos" w:cs="Arial"/>
        </w:rPr>
        <w:t xml:space="preserve"> of the State of North Carolina. The Plan is funded by employer and employee contributions. The Plan has contracted with third parties to process claims. See Note </w:t>
      </w:r>
      <w:r w:rsidRPr="00F346C5">
        <w:rPr>
          <w:rFonts w:ascii="Aptos" w:eastAsia="Times New Roman" w:hAnsi="Aptos" w:cs="Arial"/>
          <w:b/>
          <w:color w:val="0000FF"/>
        </w:rPr>
        <w:t>XX</w:t>
      </w:r>
      <w:r w:rsidRPr="00F346C5">
        <w:rPr>
          <w:rFonts w:ascii="Aptos" w:eastAsia="Times New Roman" w:hAnsi="Aptos" w:cs="Arial"/>
        </w:rPr>
        <w:t>, Other Postemployment Benefits, for additional information regarding retiree health benefits.</w:t>
      </w:r>
    </w:p>
    <w:p w14:paraId="37C6D649" w14:textId="77777777" w:rsidR="009D62EA" w:rsidRPr="00F346C5" w:rsidRDefault="009D62EA" w:rsidP="009D62EA">
      <w:pPr>
        <w:spacing w:after="240" w:line="240" w:lineRule="auto"/>
        <w:ind w:left="720" w:hanging="360"/>
        <w:jc w:val="both"/>
        <w:rPr>
          <w:rFonts w:ascii="Aptos" w:eastAsia="Times New Roman" w:hAnsi="Aptos" w:cs="Arial"/>
          <w:b/>
        </w:rPr>
      </w:pPr>
      <w:r w:rsidRPr="00F346C5">
        <w:rPr>
          <w:rFonts w:ascii="Aptos" w:eastAsia="Times New Roman" w:hAnsi="Aptos" w:cs="Arial"/>
          <w:b/>
        </w:rPr>
        <w:t>2.</w:t>
      </w:r>
      <w:r w:rsidRPr="00F346C5">
        <w:rPr>
          <w:rFonts w:ascii="Aptos" w:eastAsia="Times New Roman" w:hAnsi="Aptos" w:cs="Arial"/>
          <w:b/>
        </w:rPr>
        <w:tab/>
        <w:t>Death Benefit Plan of North Carolina</w:t>
      </w:r>
    </w:p>
    <w:p w14:paraId="6217722E" w14:textId="77777777" w:rsidR="009D62EA" w:rsidRPr="00F346C5" w:rsidRDefault="009D62EA" w:rsidP="009D62EA">
      <w:pPr>
        <w:spacing w:after="240" w:line="240" w:lineRule="auto"/>
        <w:ind w:left="720"/>
        <w:jc w:val="both"/>
        <w:rPr>
          <w:rFonts w:ascii="Aptos" w:eastAsia="Times New Roman" w:hAnsi="Aptos" w:cs="Arial"/>
        </w:rPr>
      </w:pPr>
      <w:r w:rsidRPr="00F346C5">
        <w:rPr>
          <w:rFonts w:ascii="Aptos" w:eastAsia="Times New Roman" w:hAnsi="Aptos" w:cs="Arial"/>
        </w:rPr>
        <w:t>Term life insurance (death benefits) of $25,000 to $50,000 is provided to eligible workers who enroll in the Teachers’ and State Employees’ Retirement System. This Death Benefit Plan is administered by the State Treasurer and funded via employer contributions. The employer contribution rate was 0.13% for the current fiscal year.</w:t>
      </w:r>
    </w:p>
    <w:p w14:paraId="38842960" w14:textId="77777777" w:rsidR="009D62EA" w:rsidRPr="00F346C5" w:rsidRDefault="009D62EA" w:rsidP="009D62EA">
      <w:pPr>
        <w:pStyle w:val="ListParagraph"/>
        <w:numPr>
          <w:ilvl w:val="0"/>
          <w:numId w:val="33"/>
        </w:numPr>
        <w:spacing w:after="240"/>
        <w:ind w:left="720"/>
        <w:jc w:val="both"/>
        <w:rPr>
          <w:rFonts w:ascii="Aptos" w:hAnsi="Aptos" w:cs="Arial"/>
          <w:b/>
          <w:sz w:val="22"/>
          <w:szCs w:val="22"/>
        </w:rPr>
      </w:pPr>
      <w:r w:rsidRPr="00F346C5">
        <w:rPr>
          <w:rFonts w:ascii="Aptos" w:hAnsi="Aptos" w:cs="Arial"/>
          <w:b/>
          <w:sz w:val="22"/>
          <w:szCs w:val="22"/>
        </w:rPr>
        <w:t>Disability Income Plan</w:t>
      </w:r>
    </w:p>
    <w:p w14:paraId="41341979" w14:textId="77777777" w:rsidR="009D62EA" w:rsidRPr="00F346C5" w:rsidRDefault="009D62EA" w:rsidP="009D62EA">
      <w:pPr>
        <w:pStyle w:val="PARAFLUSHUNDER1"/>
        <w:ind w:left="720"/>
        <w:rPr>
          <w:rFonts w:ascii="Aptos" w:hAnsi="Aptos" w:cs="Arial"/>
          <w:sz w:val="22"/>
          <w:szCs w:val="22"/>
        </w:rPr>
      </w:pPr>
      <w:r w:rsidRPr="00F346C5">
        <w:rPr>
          <w:rFonts w:ascii="Aptos" w:hAnsi="Aptos" w:cs="Arial"/>
          <w:sz w:val="22"/>
          <w:szCs w:val="22"/>
        </w:rPr>
        <w:t xml:space="preserve">Short-term and long-term disability benefits are provided to College employees through the Disability Income Plan of North Carolina (DIPNC), part of the State’s Pension and Other Employee Benefit Trust Funds. Short-term benefits are paid by the College </w:t>
      </w:r>
      <w:r w:rsidRPr="00F346C5">
        <w:rPr>
          <w:rFonts w:ascii="Aptos" w:eastAsia="Calibri" w:hAnsi="Aptos" w:cs="Arial"/>
          <w:sz w:val="22"/>
          <w:szCs w:val="22"/>
        </w:rPr>
        <w:t xml:space="preserve">for up to twelve months. The Board of Trustees of the DIPNC may extend the short-term disability benefits for up to an additional twelve months. During the extended period of short-term disability benefits, payments are made directly by the DIPNC to the beneficiary. </w:t>
      </w:r>
      <w:r w:rsidRPr="00F346C5">
        <w:rPr>
          <w:rFonts w:ascii="Aptos" w:hAnsi="Aptos" w:cs="Arial"/>
          <w:sz w:val="22"/>
          <w:szCs w:val="22"/>
        </w:rPr>
        <w:t xml:space="preserve">As discussed in Note </w:t>
      </w:r>
      <w:r w:rsidRPr="00F346C5">
        <w:rPr>
          <w:rFonts w:ascii="Aptos" w:hAnsi="Aptos" w:cs="Arial"/>
          <w:b/>
          <w:color w:val="0000FF"/>
          <w:sz w:val="22"/>
          <w:szCs w:val="22"/>
        </w:rPr>
        <w:t>XX</w:t>
      </w:r>
      <w:r w:rsidRPr="00F346C5">
        <w:rPr>
          <w:rFonts w:ascii="Aptos" w:hAnsi="Aptos" w:cs="Arial"/>
          <w:sz w:val="22"/>
          <w:szCs w:val="22"/>
        </w:rPr>
        <w:t>, long-term disability benefits are payable as other postemployment benefits from DIPNC after the conclusion of the short-term disability period or after salary continuation payments cease, whichever is later, for as long as an employee is disabled.</w:t>
      </w:r>
    </w:p>
    <w:p w14:paraId="06C20962" w14:textId="77777777" w:rsidR="009D62EA" w:rsidRPr="00F346C5" w:rsidRDefault="009D62EA" w:rsidP="009D62EA">
      <w:pPr>
        <w:numPr>
          <w:ilvl w:val="0"/>
          <w:numId w:val="26"/>
        </w:numPr>
        <w:spacing w:after="240" w:line="240" w:lineRule="auto"/>
        <w:ind w:left="360"/>
        <w:jc w:val="both"/>
        <w:rPr>
          <w:rFonts w:ascii="Aptos" w:eastAsia="Times New Roman" w:hAnsi="Aptos" w:cs="Arial"/>
          <w:b/>
          <w:bCs/>
          <w:iCs/>
        </w:rPr>
      </w:pPr>
      <w:r w:rsidRPr="00F346C5">
        <w:rPr>
          <w:rFonts w:ascii="Aptos" w:eastAsia="Times New Roman" w:hAnsi="Aptos" w:cs="Arial"/>
          <w:b/>
          <w:bCs/>
          <w:iCs/>
        </w:rPr>
        <w:t>Other Risk Management and Insurance Activities</w:t>
      </w:r>
    </w:p>
    <w:p w14:paraId="5CEEA095" w14:textId="77777777" w:rsidR="009D62EA" w:rsidRPr="00F346C5" w:rsidRDefault="009D62EA" w:rsidP="009D62EA">
      <w:pPr>
        <w:numPr>
          <w:ilvl w:val="0"/>
          <w:numId w:val="25"/>
        </w:numPr>
        <w:spacing w:after="240" w:line="240" w:lineRule="auto"/>
        <w:ind w:left="720"/>
        <w:jc w:val="both"/>
        <w:rPr>
          <w:rFonts w:ascii="Aptos" w:eastAsia="Times New Roman" w:hAnsi="Aptos" w:cs="Arial"/>
          <w:b/>
        </w:rPr>
      </w:pPr>
      <w:r w:rsidRPr="00F346C5">
        <w:rPr>
          <w:rFonts w:ascii="Aptos" w:eastAsia="Times New Roman" w:hAnsi="Aptos" w:cs="Arial"/>
          <w:b/>
        </w:rPr>
        <w:t>Automobile, Fire, and Other Property Losses</w:t>
      </w:r>
    </w:p>
    <w:p w14:paraId="43F52BF6" w14:textId="74DE1A05" w:rsidR="007F7080" w:rsidRPr="00F346C5" w:rsidRDefault="007F7080" w:rsidP="009D62EA">
      <w:pPr>
        <w:spacing w:after="240" w:line="240" w:lineRule="auto"/>
        <w:ind w:left="720"/>
        <w:jc w:val="both"/>
        <w:rPr>
          <w:rFonts w:ascii="Aptos" w:eastAsia="Times New Roman" w:hAnsi="Aptos" w:cs="Arial"/>
        </w:rPr>
      </w:pPr>
      <w:r w:rsidRPr="00F346C5">
        <w:rPr>
          <w:rFonts w:ascii="Aptos" w:eastAsia="Times New Roman" w:hAnsi="Aptos" w:cs="Arial"/>
        </w:rPr>
        <w:t xml:space="preserve">State-owned vehicles are covered by liability insurance through a private insurance company and handled by the </w:t>
      </w:r>
      <w:r w:rsidR="00C84A25" w:rsidRPr="00B531E4">
        <w:rPr>
          <w:rFonts w:ascii="Aptos" w:eastAsia="Times New Roman" w:hAnsi="Aptos" w:cs="Arial"/>
          <w:bCs/>
          <w:iCs/>
        </w:rPr>
        <w:t>Office of State Fire Marshal within the</w:t>
      </w:r>
      <w:r w:rsidR="00C84A25" w:rsidRPr="00866A10">
        <w:rPr>
          <w:rFonts w:ascii="Aptos" w:eastAsia="Times New Roman" w:hAnsi="Aptos" w:cs="Arial"/>
          <w:bCs/>
          <w:iCs/>
        </w:rPr>
        <w:t xml:space="preserve"> </w:t>
      </w:r>
      <w:r w:rsidRPr="00F346C5">
        <w:rPr>
          <w:rFonts w:ascii="Aptos" w:eastAsia="Times New Roman" w:hAnsi="Aptos" w:cs="Arial"/>
        </w:rPr>
        <w:t xml:space="preserve">North Carolina Department of Insurance. The liability limits for losses are $1,000,000 per claim and $10,000,000 per occurrence. The College pays premiums to </w:t>
      </w:r>
      <w:r w:rsidR="00E12BD8">
        <w:rPr>
          <w:rFonts w:ascii="Aptos" w:eastAsia="Times New Roman" w:hAnsi="Aptos" w:cs="Arial"/>
        </w:rPr>
        <w:t xml:space="preserve">the </w:t>
      </w:r>
      <w:r w:rsidR="00E12BD8" w:rsidRPr="00B531E4">
        <w:rPr>
          <w:rFonts w:ascii="Aptos" w:eastAsia="Times New Roman" w:hAnsi="Aptos" w:cs="Arial"/>
          <w:bCs/>
          <w:iCs/>
        </w:rPr>
        <w:t>Office of State Fire Marshal</w:t>
      </w:r>
      <w:r w:rsidR="00E12BD8" w:rsidRPr="00866A10">
        <w:rPr>
          <w:rFonts w:ascii="Aptos" w:eastAsia="Times New Roman" w:hAnsi="Aptos" w:cs="Arial"/>
          <w:bCs/>
          <w:iCs/>
        </w:rPr>
        <w:t xml:space="preserve"> for</w:t>
      </w:r>
      <w:r w:rsidR="00E12BD8">
        <w:rPr>
          <w:rFonts w:ascii="Aptos" w:eastAsia="Times New Roman" w:hAnsi="Aptos" w:cs="Arial"/>
          <w:bCs/>
          <w:iCs/>
        </w:rPr>
        <w:t xml:space="preserve"> the coverage.</w:t>
      </w:r>
      <w:r w:rsidR="00E12BD8" w:rsidRPr="00866A10">
        <w:rPr>
          <w:rFonts w:ascii="Aptos" w:eastAsia="Times New Roman" w:hAnsi="Aptos" w:cs="Arial"/>
          <w:bCs/>
          <w:iCs/>
        </w:rPr>
        <w:t xml:space="preserve"> </w:t>
      </w:r>
      <w:r w:rsidRPr="00F346C5">
        <w:rPr>
          <w:rFonts w:ascii="Aptos" w:eastAsia="Times New Roman" w:hAnsi="Aptos" w:cs="Arial"/>
        </w:rPr>
        <w:t>Liability insurance for other College-owned vehicles is covered by contracts with private insurance companies</w:t>
      </w:r>
      <w:r w:rsidRPr="001B29B4">
        <w:rPr>
          <w:rFonts w:ascii="Aptos" w:eastAsia="Times New Roman" w:hAnsi="Aptos" w:cs="Arial"/>
        </w:rPr>
        <w:t>.</w:t>
      </w:r>
      <w:r w:rsidRPr="00B531E4">
        <w:rPr>
          <w:rFonts w:ascii="Aptos" w:eastAsia="Times New Roman" w:hAnsi="Aptos" w:cs="Arial"/>
          <w:b/>
          <w:i/>
          <w:color w:val="0000FF"/>
        </w:rPr>
        <w:t xml:space="preserve"> [Revise coverage amounts as applicable.]</w:t>
      </w:r>
    </w:p>
    <w:p w14:paraId="499365DF" w14:textId="0D309F65" w:rsidR="009D62EA" w:rsidRPr="00F346C5" w:rsidRDefault="009D62EA" w:rsidP="009D62EA">
      <w:pPr>
        <w:spacing w:after="240" w:line="240" w:lineRule="auto"/>
        <w:ind w:left="720"/>
        <w:jc w:val="both"/>
        <w:rPr>
          <w:rFonts w:ascii="Aptos" w:eastAsia="Times New Roman" w:hAnsi="Aptos" w:cs="Arial"/>
        </w:rPr>
      </w:pPr>
      <w:r w:rsidRPr="00F346C5">
        <w:rPr>
          <w:rFonts w:ascii="Aptos" w:eastAsia="Times New Roman" w:hAnsi="Aptos" w:cs="Arial"/>
        </w:rPr>
        <w:t xml:space="preserve">Fire and other property losses are covered by contracts with private insurance companies. </w:t>
      </w:r>
      <w:r w:rsidRPr="00F346C5">
        <w:rPr>
          <w:rFonts w:ascii="Aptos" w:eastAsia="Times New Roman" w:hAnsi="Aptos" w:cs="Arial"/>
          <w:b/>
          <w:i/>
          <w:color w:val="0000FF"/>
        </w:rPr>
        <w:t>[Note: This paragraph should only be used if your institution does not participate in the State Public Education Property Insurance Fund, as noted above in part A of this note. In the event that this paragraph does not apply, modify the title of this section to “Automobile Insurance”. Modify as necessary.]</w:t>
      </w:r>
    </w:p>
    <w:p w14:paraId="48D2CFB7" w14:textId="77777777" w:rsidR="009D62EA" w:rsidRPr="00F346C5" w:rsidRDefault="009D62EA" w:rsidP="009D62EA">
      <w:pPr>
        <w:pStyle w:val="ListParagraph"/>
        <w:numPr>
          <w:ilvl w:val="0"/>
          <w:numId w:val="25"/>
        </w:numPr>
        <w:spacing w:after="240"/>
        <w:ind w:left="720"/>
        <w:jc w:val="both"/>
        <w:rPr>
          <w:rFonts w:ascii="Aptos" w:hAnsi="Aptos" w:cs="Arial"/>
          <w:b/>
          <w:sz w:val="22"/>
          <w:szCs w:val="22"/>
        </w:rPr>
      </w:pPr>
      <w:r w:rsidRPr="00F346C5">
        <w:rPr>
          <w:rFonts w:ascii="Aptos" w:hAnsi="Aptos" w:cs="Arial"/>
          <w:b/>
          <w:sz w:val="22"/>
          <w:szCs w:val="22"/>
        </w:rPr>
        <w:t>Public Officers’ and Employees’ Liability Insurance</w:t>
      </w:r>
    </w:p>
    <w:p w14:paraId="5A777220" w14:textId="3A86689F" w:rsidR="009D62EA" w:rsidRPr="00F346C5" w:rsidRDefault="009D62EA" w:rsidP="009D62EA">
      <w:pPr>
        <w:spacing w:after="240" w:line="240" w:lineRule="auto"/>
        <w:ind w:left="720"/>
        <w:jc w:val="both"/>
        <w:rPr>
          <w:rFonts w:ascii="Aptos" w:eastAsia="Times New Roman" w:hAnsi="Aptos" w:cs="Arial"/>
        </w:rPr>
      </w:pPr>
      <w:r w:rsidRPr="00F346C5">
        <w:rPr>
          <w:rFonts w:ascii="Aptos" w:eastAsia="Times New Roman" w:hAnsi="Aptos" w:cs="Arial"/>
        </w:rPr>
        <w:t xml:space="preserve">The risk of tort claims of up to $1,000,000 per claimant is retained under the authority of the State Tort Claims Act. In addition, the State provides excess public officers’ and employees’ liability insurance up to $2,000,000 per claim and </w:t>
      </w:r>
      <w:r w:rsidRPr="00E12BD8">
        <w:rPr>
          <w:rFonts w:ascii="Aptos" w:eastAsia="Times New Roman" w:hAnsi="Aptos" w:cs="Arial"/>
          <w:highlight w:val="yellow"/>
        </w:rPr>
        <w:t>$</w:t>
      </w:r>
      <w:r w:rsidR="001B29B4">
        <w:rPr>
          <w:rFonts w:ascii="Aptos" w:eastAsia="Times New Roman" w:hAnsi="Aptos" w:cs="Arial"/>
          <w:highlight w:val="yellow"/>
        </w:rPr>
        <w:t>6</w:t>
      </w:r>
      <w:r w:rsidR="00E12BD8" w:rsidRPr="00E12BD8">
        <w:rPr>
          <w:rFonts w:ascii="Aptos" w:eastAsia="Times New Roman" w:hAnsi="Aptos" w:cs="Arial"/>
          <w:highlight w:val="yellow"/>
        </w:rPr>
        <w:t>,</w:t>
      </w:r>
      <w:r w:rsidRPr="00E12BD8">
        <w:rPr>
          <w:rFonts w:ascii="Aptos" w:eastAsia="Times New Roman" w:hAnsi="Aptos" w:cs="Arial"/>
          <w:highlight w:val="yellow"/>
        </w:rPr>
        <w:t>000,000</w:t>
      </w:r>
      <w:r w:rsidRPr="00F346C5">
        <w:rPr>
          <w:rFonts w:ascii="Aptos" w:eastAsia="Times New Roman" w:hAnsi="Aptos" w:cs="Arial"/>
        </w:rPr>
        <w:t xml:space="preserve"> in the aggregate </w:t>
      </w:r>
      <w:r w:rsidRPr="00F346C5">
        <w:rPr>
          <w:rFonts w:ascii="Aptos" w:eastAsia="Times New Roman" w:hAnsi="Aptos" w:cs="Arial"/>
        </w:rPr>
        <w:lastRenderedPageBreak/>
        <w:t>per fiscal year via contract with private insurance companies. The North Carolina Community College System Office pays the premium, based on a composite rate, directly to the private insurer</w:t>
      </w:r>
      <w:r w:rsidRPr="001B29B4">
        <w:rPr>
          <w:rFonts w:ascii="Aptos" w:eastAsia="Times New Roman" w:hAnsi="Aptos" w:cs="Arial"/>
        </w:rPr>
        <w:t>.</w:t>
      </w:r>
      <w:r w:rsidRPr="001B29B4">
        <w:rPr>
          <w:rFonts w:ascii="Aptos" w:eastAsia="Times New Roman" w:hAnsi="Aptos" w:cs="Arial"/>
          <w:b/>
        </w:rPr>
        <w:t xml:space="preserve"> </w:t>
      </w:r>
      <w:r w:rsidR="007F7080" w:rsidRPr="00B531E4">
        <w:rPr>
          <w:rFonts w:ascii="Aptos" w:eastAsia="Times New Roman" w:hAnsi="Aptos" w:cs="Arial"/>
          <w:b/>
          <w:i/>
          <w:color w:val="0000FF"/>
        </w:rPr>
        <w:t>[Revise coverage amounts as applicable.]</w:t>
      </w:r>
    </w:p>
    <w:p w14:paraId="33621CE1" w14:textId="77777777" w:rsidR="009D62EA" w:rsidRPr="00F346C5" w:rsidRDefault="009D62EA" w:rsidP="009D62EA">
      <w:pPr>
        <w:numPr>
          <w:ilvl w:val="0"/>
          <w:numId w:val="25"/>
        </w:numPr>
        <w:spacing w:after="240" w:line="240" w:lineRule="auto"/>
        <w:ind w:left="720"/>
        <w:jc w:val="both"/>
        <w:rPr>
          <w:rFonts w:ascii="Aptos" w:eastAsia="Times New Roman" w:hAnsi="Aptos" w:cs="Arial"/>
          <w:b/>
        </w:rPr>
      </w:pPr>
      <w:r w:rsidRPr="00F346C5">
        <w:rPr>
          <w:rFonts w:ascii="Aptos" w:eastAsia="Times New Roman" w:hAnsi="Aptos" w:cs="Arial"/>
          <w:b/>
        </w:rPr>
        <w:t>Employee Dishonesty and Computer Fraud</w:t>
      </w:r>
    </w:p>
    <w:p w14:paraId="55FAA2C1" w14:textId="51D15295" w:rsidR="009D62EA" w:rsidRPr="00F346C5" w:rsidRDefault="009D62EA" w:rsidP="009D62EA">
      <w:pPr>
        <w:spacing w:after="240" w:line="240" w:lineRule="auto"/>
        <w:ind w:left="720"/>
        <w:jc w:val="both"/>
        <w:rPr>
          <w:rFonts w:ascii="Aptos" w:eastAsia="Times New Roman" w:hAnsi="Aptos" w:cs="Arial"/>
          <w:b/>
        </w:rPr>
      </w:pPr>
      <w:r w:rsidRPr="00F346C5">
        <w:rPr>
          <w:rFonts w:ascii="Aptos" w:eastAsia="Times New Roman" w:hAnsi="Aptos" w:cs="Arial"/>
        </w:rPr>
        <w:t>The College is protected for losses from employee dishonesty and computer fraud for employees paid in whole or in part from state funds. This coverage is with a private insurance company and is handled by the North Carolina Department of Insurance. The North Carolina Community College System Office is charged a premium by the private insurance company. Coverage limit is $5,000,000 per occurrence. The private insurance company pays 90% of each loss less a $100,000 deductible.</w:t>
      </w:r>
      <w:r w:rsidRPr="00F346C5">
        <w:rPr>
          <w:rFonts w:ascii="Aptos" w:eastAsia="Times New Roman" w:hAnsi="Aptos" w:cs="Arial"/>
          <w:b/>
        </w:rPr>
        <w:t xml:space="preserve"> </w:t>
      </w:r>
      <w:r w:rsidR="007F7080" w:rsidRPr="00B531E4">
        <w:rPr>
          <w:rFonts w:ascii="Aptos" w:eastAsia="Times New Roman" w:hAnsi="Aptos" w:cs="Arial"/>
          <w:b/>
          <w:i/>
          <w:color w:val="0000FF"/>
        </w:rPr>
        <w:t>[Revise coverage amounts as applicable.</w:t>
      </w:r>
      <w:r w:rsidR="007F7080" w:rsidRPr="00F346C5">
        <w:rPr>
          <w:rFonts w:ascii="Aptos" w:eastAsia="Times New Roman" w:hAnsi="Aptos" w:cs="Arial"/>
          <w:b/>
          <w:i/>
          <w:color w:val="0000FF"/>
        </w:rPr>
        <w:t xml:space="preserve"> </w:t>
      </w:r>
      <w:r w:rsidRPr="00F346C5">
        <w:rPr>
          <w:rFonts w:ascii="Aptos" w:eastAsia="Times New Roman" w:hAnsi="Aptos" w:cs="Arial"/>
          <w:b/>
          <w:bCs/>
          <w:i/>
          <w:iCs/>
          <w:color w:val="0000FF"/>
        </w:rPr>
        <w:t>Describe how losses from county and institutional funds paid employees are covered.]</w:t>
      </w:r>
    </w:p>
    <w:p w14:paraId="0B4296BD" w14:textId="77777777" w:rsidR="009D62EA" w:rsidRPr="00F346C5" w:rsidRDefault="009D62EA" w:rsidP="009D62EA">
      <w:pPr>
        <w:pStyle w:val="ListParagraph"/>
        <w:numPr>
          <w:ilvl w:val="0"/>
          <w:numId w:val="25"/>
        </w:numPr>
        <w:spacing w:after="240"/>
        <w:ind w:left="720"/>
        <w:jc w:val="both"/>
        <w:rPr>
          <w:rFonts w:ascii="Aptos" w:hAnsi="Aptos" w:cs="Arial"/>
          <w:b/>
          <w:sz w:val="22"/>
          <w:szCs w:val="22"/>
        </w:rPr>
      </w:pPr>
      <w:r w:rsidRPr="00F346C5">
        <w:rPr>
          <w:rFonts w:ascii="Aptos" w:hAnsi="Aptos" w:cs="Arial"/>
          <w:b/>
          <w:sz w:val="22"/>
          <w:szCs w:val="22"/>
        </w:rPr>
        <w:t>Statewide Workers’ Compensation Program</w:t>
      </w:r>
    </w:p>
    <w:p w14:paraId="149D9539" w14:textId="77777777" w:rsidR="009D62EA" w:rsidRPr="00F346C5" w:rsidRDefault="009D62EA" w:rsidP="009D62EA">
      <w:pPr>
        <w:spacing w:after="240" w:line="240" w:lineRule="auto"/>
        <w:ind w:left="720"/>
        <w:jc w:val="both"/>
        <w:rPr>
          <w:rFonts w:ascii="Aptos" w:eastAsia="Times New Roman" w:hAnsi="Aptos" w:cs="Arial"/>
        </w:rPr>
      </w:pPr>
      <w:r w:rsidRPr="00F346C5">
        <w:rPr>
          <w:rFonts w:ascii="Aptos" w:eastAsia="Times New Roman" w:hAnsi="Aptos" w:cs="Arial"/>
        </w:rPr>
        <w:t>The State Board of Community Colleges makes the necessary arrangements to carry out the provisions of the Workers’ Compensation Act which are applicable to employees whose wages are paid in whole or in part from state funds. The College purchases workers’ compensation insurance for employees whose salaries or wages are paid by the Board in whole or in part from county or institutional funds.</w:t>
      </w:r>
    </w:p>
    <w:p w14:paraId="7C7266E6" w14:textId="77777777" w:rsidR="009D62EA" w:rsidRPr="00F346C5" w:rsidRDefault="009D62EA" w:rsidP="009D62EA">
      <w:pPr>
        <w:spacing w:after="240" w:line="240" w:lineRule="auto"/>
        <w:ind w:left="720"/>
        <w:jc w:val="both"/>
        <w:rPr>
          <w:rFonts w:ascii="Aptos" w:eastAsia="Times New Roman" w:hAnsi="Aptos" w:cs="Arial"/>
        </w:rPr>
      </w:pPr>
      <w:r w:rsidRPr="00F346C5">
        <w:rPr>
          <w:rFonts w:ascii="Aptos" w:eastAsia="Times New Roman" w:hAnsi="Aptos" w:cs="Arial"/>
        </w:rPr>
        <w:t xml:space="preserve">Additional details on the state-administered risk management programs are disclosed in the State’s </w:t>
      </w:r>
      <w:r w:rsidRPr="00F346C5">
        <w:rPr>
          <w:rFonts w:ascii="Aptos" w:eastAsia="Times New Roman" w:hAnsi="Aptos" w:cs="Arial"/>
          <w:i/>
        </w:rPr>
        <w:t>Annual Comprehensive Financial Report</w:t>
      </w:r>
      <w:r w:rsidRPr="00F346C5">
        <w:rPr>
          <w:rFonts w:ascii="Aptos" w:eastAsia="Times New Roman" w:hAnsi="Aptos" w:cs="Arial"/>
        </w:rPr>
        <w:t>, issued by the Office of the State Controller.</w:t>
      </w:r>
    </w:p>
    <w:p w14:paraId="4BE2726D" w14:textId="77777777" w:rsidR="009D62EA" w:rsidRPr="00F346C5" w:rsidRDefault="009D62EA" w:rsidP="009D62EA">
      <w:pPr>
        <w:pStyle w:val="ListParagraph"/>
        <w:numPr>
          <w:ilvl w:val="0"/>
          <w:numId w:val="25"/>
        </w:numPr>
        <w:spacing w:after="240"/>
        <w:ind w:left="720"/>
        <w:jc w:val="both"/>
        <w:rPr>
          <w:rFonts w:ascii="Aptos" w:hAnsi="Aptos" w:cs="Arial"/>
          <w:b/>
          <w:sz w:val="22"/>
          <w:szCs w:val="22"/>
        </w:rPr>
      </w:pPr>
      <w:r w:rsidRPr="00F346C5">
        <w:rPr>
          <w:rFonts w:ascii="Aptos" w:hAnsi="Aptos" w:cs="Arial"/>
          <w:b/>
          <w:sz w:val="22"/>
          <w:szCs w:val="22"/>
        </w:rPr>
        <w:t>Other Insurance Held by the College</w:t>
      </w:r>
    </w:p>
    <w:p w14:paraId="494C9697" w14:textId="77777777" w:rsidR="009D62EA" w:rsidRPr="00F346C5" w:rsidRDefault="009D62EA" w:rsidP="009D62EA">
      <w:pPr>
        <w:spacing w:after="240" w:line="240" w:lineRule="auto"/>
        <w:ind w:left="720"/>
        <w:jc w:val="both"/>
        <w:rPr>
          <w:rFonts w:ascii="Aptos" w:eastAsia="Times New Roman" w:hAnsi="Aptos" w:cs="Arial"/>
          <w:b/>
          <w:bCs/>
          <w:i/>
          <w:iCs/>
          <w:color w:val="0000FF"/>
        </w:rPr>
      </w:pPr>
      <w:r w:rsidRPr="00F346C5">
        <w:rPr>
          <w:rFonts w:ascii="Aptos" w:eastAsia="Times New Roman" w:hAnsi="Aptos" w:cs="Arial"/>
          <w:b/>
          <w:bCs/>
          <w:i/>
          <w:iCs/>
          <w:color w:val="0000FF"/>
        </w:rPr>
        <w:t>[Disclose any material events related to risk management occurring during the fiscal year or after the balance sheet date.]</w:t>
      </w:r>
    </w:p>
    <w:p w14:paraId="1A39F447" w14:textId="77777777" w:rsidR="009D62EA" w:rsidRPr="00F346C5" w:rsidRDefault="009D62EA" w:rsidP="009D62EA">
      <w:pPr>
        <w:spacing w:after="240" w:line="240" w:lineRule="auto"/>
        <w:ind w:left="720"/>
        <w:jc w:val="both"/>
        <w:rPr>
          <w:rFonts w:ascii="Aptos" w:eastAsia="Times New Roman" w:hAnsi="Aptos" w:cs="Arial"/>
          <w:b/>
          <w:bCs/>
          <w:i/>
          <w:iCs/>
          <w:color w:val="0000FF"/>
        </w:rPr>
      </w:pPr>
      <w:r w:rsidRPr="00F346C5">
        <w:rPr>
          <w:rFonts w:ascii="Aptos" w:eastAsia="Times New Roman" w:hAnsi="Aptos" w:cs="Arial"/>
          <w:b/>
          <w:bCs/>
          <w:i/>
          <w:iCs/>
          <w:color w:val="0000FF"/>
        </w:rPr>
        <w:t xml:space="preserve">[Add the following paragraph to disclose any material retained risk not disclosed elsewhere in this note as required by GASB. (For example </w:t>
      </w:r>
      <w:r w:rsidRPr="00F346C5">
        <w:rPr>
          <w:rFonts w:ascii="Aptos" w:eastAsia="Times New Roman" w:hAnsi="Aptos" w:cs="Arial"/>
          <w:bCs/>
          <w:i/>
          <w:iCs/>
          <w:color w:val="0000FF"/>
        </w:rPr>
        <w:t>-</w:t>
      </w:r>
      <w:r w:rsidRPr="00F346C5">
        <w:rPr>
          <w:rFonts w:ascii="Aptos" w:eastAsia="Times New Roman" w:hAnsi="Aptos" w:cs="Arial"/>
          <w:b/>
          <w:bCs/>
          <w:i/>
          <w:iCs/>
          <w:color w:val="0000FF"/>
        </w:rPr>
        <w:t xml:space="preserve"> medical malpractice.)]</w:t>
      </w:r>
    </w:p>
    <w:p w14:paraId="3C5CFDF7" w14:textId="51688110" w:rsidR="009D62EA" w:rsidRPr="00F346C5" w:rsidRDefault="009D62EA" w:rsidP="009D62EA">
      <w:pPr>
        <w:spacing w:after="240" w:line="240" w:lineRule="auto"/>
        <w:ind w:left="720"/>
        <w:jc w:val="both"/>
        <w:rPr>
          <w:rFonts w:ascii="Aptos" w:eastAsia="Times New Roman" w:hAnsi="Aptos" w:cs="Arial"/>
          <w:b/>
          <w:i/>
          <w:color w:val="0000FF"/>
        </w:rPr>
      </w:pPr>
      <w:r w:rsidRPr="00F346C5">
        <w:rPr>
          <w:rFonts w:ascii="Aptos" w:eastAsia="Times New Roman" w:hAnsi="Aptos" w:cs="Arial"/>
        </w:rPr>
        <w:t xml:space="preserve">The College retained the following risks as of </w:t>
      </w:r>
      <w:r w:rsidR="00D001EB" w:rsidRPr="00F346C5">
        <w:rPr>
          <w:rFonts w:ascii="Aptos" w:eastAsia="Times New Roman" w:hAnsi="Aptos" w:cs="Arial"/>
        </w:rPr>
        <w:t xml:space="preserve">June 30, </w:t>
      </w:r>
      <w:r w:rsidR="001B29B4" w:rsidRPr="0019002A">
        <w:rPr>
          <w:rFonts w:ascii="Aptos" w:eastAsia="Times New Roman" w:hAnsi="Aptos" w:cs="Arial"/>
        </w:rPr>
        <w:t>2026</w:t>
      </w:r>
      <w:r w:rsidRPr="00F346C5">
        <w:rPr>
          <w:rFonts w:ascii="Aptos" w:eastAsia="Times New Roman" w:hAnsi="Aptos" w:cs="Arial"/>
        </w:rPr>
        <w:t xml:space="preserve">: </w:t>
      </w:r>
      <w:r w:rsidRPr="00F346C5">
        <w:rPr>
          <w:rFonts w:ascii="Aptos" w:eastAsia="Times New Roman" w:hAnsi="Aptos" w:cs="Arial"/>
          <w:b/>
          <w:i/>
          <w:color w:val="0000FF"/>
        </w:rPr>
        <w:t>[Describe the risks retained by the College and applicable liabilities. See GASB 10 for disclosure requirements.]</w:t>
      </w:r>
    </w:p>
    <w:p w14:paraId="5687D315" w14:textId="77777777" w:rsidR="009D62EA" w:rsidRPr="00F346C5" w:rsidRDefault="009D62EA" w:rsidP="009D62EA">
      <w:pPr>
        <w:tabs>
          <w:tab w:val="left" w:pos="1800"/>
        </w:tabs>
        <w:spacing w:after="240" w:line="240" w:lineRule="auto"/>
        <w:ind w:left="720"/>
        <w:jc w:val="both"/>
        <w:rPr>
          <w:rFonts w:ascii="Aptos" w:eastAsia="Times New Roman" w:hAnsi="Aptos" w:cs="Arial"/>
          <w:b/>
          <w:i/>
          <w:color w:val="0000FF"/>
        </w:rPr>
      </w:pPr>
      <w:r w:rsidRPr="00F346C5">
        <w:rPr>
          <w:rFonts w:ascii="Aptos" w:eastAsia="Times New Roman" w:hAnsi="Aptos" w:cs="Arial"/>
          <w:b/>
          <w:i/>
          <w:color w:val="0000FF"/>
        </w:rPr>
        <w:t>[Add the following paragraph if other private insurance was purchased to address risks that could be of a material nature.]</w:t>
      </w:r>
    </w:p>
    <w:p w14:paraId="33B9AB1D" w14:textId="77777777" w:rsidR="009D62EA" w:rsidRDefault="009D62EA" w:rsidP="009D62EA">
      <w:pPr>
        <w:spacing w:after="240" w:line="240" w:lineRule="auto"/>
        <w:ind w:left="720"/>
        <w:jc w:val="both"/>
        <w:rPr>
          <w:rFonts w:ascii="Aptos" w:eastAsia="Times New Roman" w:hAnsi="Aptos" w:cs="Arial"/>
          <w:b/>
          <w:i/>
          <w:color w:val="0000FF"/>
        </w:rPr>
      </w:pPr>
      <w:r w:rsidRPr="00F346C5">
        <w:rPr>
          <w:rFonts w:ascii="Aptos" w:eastAsia="Times New Roman" w:hAnsi="Aptos" w:cs="Arial"/>
        </w:rPr>
        <w:t xml:space="preserve">The College purchased other authorized coverage from private insurance companies through the North Carolina Department of Insurance. </w:t>
      </w:r>
      <w:r w:rsidRPr="00F346C5">
        <w:rPr>
          <w:rFonts w:ascii="Aptos" w:eastAsia="Times New Roman" w:hAnsi="Aptos" w:cs="Arial"/>
          <w:b/>
          <w:i/>
          <w:color w:val="0000FF"/>
        </w:rPr>
        <w:t>[Describe other types of insurance purchased and applicable coverage. See GASB 10 for disclosure requirements.]</w:t>
      </w:r>
    </w:p>
    <w:p w14:paraId="487F9EE0" w14:textId="77777777" w:rsidR="00762D0E" w:rsidRPr="00B531E4" w:rsidRDefault="00762D0E" w:rsidP="00762D0E">
      <w:pPr>
        <w:numPr>
          <w:ilvl w:val="0"/>
          <w:numId w:val="26"/>
        </w:numPr>
        <w:spacing w:after="240" w:line="240" w:lineRule="auto"/>
        <w:ind w:left="360"/>
        <w:jc w:val="both"/>
        <w:rPr>
          <w:rFonts w:ascii="Aptos" w:eastAsia="Times New Roman" w:hAnsi="Aptos" w:cs="Arial"/>
          <w:b/>
          <w:bCs/>
          <w:iCs/>
        </w:rPr>
      </w:pPr>
      <w:r w:rsidRPr="00B531E4">
        <w:rPr>
          <w:rFonts w:ascii="Aptos" w:eastAsia="Times New Roman" w:hAnsi="Aptos" w:cs="Arial"/>
          <w:b/>
          <w:bCs/>
          <w:iCs/>
        </w:rPr>
        <w:t>Risk of Substantial Impact Associated with Concentrations or Constraints</w:t>
      </w:r>
    </w:p>
    <w:p w14:paraId="64CC9B3A" w14:textId="4C31962E" w:rsidR="00762D0E" w:rsidRPr="00B531E4" w:rsidRDefault="00762D0E" w:rsidP="00762D0E">
      <w:pPr>
        <w:spacing w:after="240" w:line="240" w:lineRule="auto"/>
        <w:ind w:left="720"/>
        <w:jc w:val="both"/>
        <w:rPr>
          <w:rFonts w:ascii="Aptos" w:eastAsia="Times New Roman" w:hAnsi="Aptos" w:cs="Arial"/>
          <w:b/>
          <w:bCs/>
          <w:i/>
          <w:iCs/>
          <w:color w:val="0000FF"/>
        </w:rPr>
      </w:pPr>
      <w:bookmarkStart w:id="348" w:name="_Hlk199507883"/>
      <w:r w:rsidRPr="00B531E4">
        <w:rPr>
          <w:rFonts w:ascii="Aptos" w:eastAsia="Times New Roman" w:hAnsi="Aptos" w:cs="Arial"/>
          <w:b/>
          <w:bCs/>
          <w:i/>
          <w:iCs/>
          <w:color w:val="0000FF"/>
        </w:rPr>
        <w:lastRenderedPageBreak/>
        <w:t>[Include GASB 102 disclosures if a substantial impact that is associated with a concentration or constraint vulnerability that has occurred, is in the process of occurring, or is more likely than not to occur prior to the issuance of the next year’s financial statements.</w:t>
      </w:r>
      <w:r w:rsidR="00CC33DE" w:rsidRPr="00B531E4">
        <w:rPr>
          <w:rFonts w:ascii="Aptos" w:eastAsia="Times New Roman" w:hAnsi="Aptos" w:cs="Arial"/>
          <w:b/>
          <w:bCs/>
          <w:i/>
          <w:iCs/>
          <w:color w:val="0000FF"/>
        </w:rPr>
        <w:t xml:space="preserve"> Refer to the Changes in Financial Accounting and Reporting note below.</w:t>
      </w:r>
      <w:bookmarkEnd w:id="348"/>
      <w:r w:rsidR="00CC33DE" w:rsidRPr="00B531E4">
        <w:rPr>
          <w:rFonts w:ascii="Aptos" w:eastAsia="Times New Roman" w:hAnsi="Aptos" w:cs="Arial"/>
          <w:b/>
          <w:bCs/>
          <w:i/>
          <w:iCs/>
          <w:color w:val="0000FF"/>
        </w:rPr>
        <w:t xml:space="preserve"> </w:t>
      </w:r>
      <w:r w:rsidRPr="00B531E4">
        <w:rPr>
          <w:rFonts w:ascii="Aptos" w:eastAsia="Times New Roman" w:hAnsi="Aptos" w:cs="Arial"/>
          <w:b/>
          <w:bCs/>
          <w:i/>
          <w:iCs/>
          <w:color w:val="0000FF"/>
        </w:rPr>
        <w:t xml:space="preserve">Disclosure is not required If mitigating action was taken prior to the issuance of the financial statement that reduced the impact to below substantial.] </w:t>
      </w:r>
    </w:p>
    <w:p w14:paraId="74E6533F" w14:textId="77777777" w:rsidR="009D62EA" w:rsidRPr="00F346C5" w:rsidRDefault="009D62EA"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r w:rsidRPr="00F346C5">
        <w:rPr>
          <w:rFonts w:ascii="Aptos" w:eastAsia="Times New Roman" w:hAnsi="Aptos" w:cs="Times New Roman"/>
          <w:b/>
          <w:kern w:val="28"/>
        </w:rPr>
        <w:t>Note 17</w:t>
      </w:r>
      <w:r w:rsidRPr="00F346C5">
        <w:rPr>
          <w:rFonts w:ascii="Aptos" w:eastAsia="Times New Roman" w:hAnsi="Aptos" w:cs="Times New Roman"/>
          <w:b/>
          <w:kern w:val="28"/>
        </w:rPr>
        <w:tab/>
        <w:t>-</w:t>
      </w:r>
      <w:r w:rsidRPr="00F346C5">
        <w:rPr>
          <w:rFonts w:ascii="Aptos" w:eastAsia="Times New Roman" w:hAnsi="Aptos" w:cs="Times New Roman"/>
          <w:b/>
          <w:kern w:val="28"/>
        </w:rPr>
        <w:tab/>
        <w:t>Commitments and Contingencies</w:t>
      </w:r>
    </w:p>
    <w:p w14:paraId="43147E50" w14:textId="77777777" w:rsidR="009D62EA" w:rsidRPr="00F346C5" w:rsidRDefault="009D62EA" w:rsidP="009D62EA">
      <w:pPr>
        <w:tabs>
          <w:tab w:val="left" w:pos="1080"/>
        </w:tabs>
        <w:spacing w:after="240" w:line="240" w:lineRule="auto"/>
        <w:jc w:val="both"/>
        <w:rPr>
          <w:rFonts w:ascii="Aptos" w:eastAsia="Times New Roman" w:hAnsi="Aptos" w:cs="Arial"/>
          <w:b/>
          <w:i/>
          <w:color w:val="0000FF"/>
        </w:rPr>
      </w:pPr>
      <w:r w:rsidRPr="00F346C5">
        <w:rPr>
          <w:rFonts w:ascii="Aptos" w:eastAsia="Times New Roman" w:hAnsi="Aptos" w:cs="Arial"/>
          <w:b/>
          <w:i/>
          <w:color w:val="0000FF"/>
        </w:rPr>
        <w:t>[Note to Preparer: Modify as necessary. If significant contingencies exist see GASB 62 paragraphs 106 through 110 for full disclosure requirements]</w:t>
      </w:r>
    </w:p>
    <w:p w14:paraId="043EA898" w14:textId="312C32D5" w:rsidR="009D62EA" w:rsidRPr="00F346C5" w:rsidRDefault="009D62EA" w:rsidP="009D62EA">
      <w:pPr>
        <w:tabs>
          <w:tab w:val="left" w:pos="1560"/>
        </w:tabs>
        <w:spacing w:after="240" w:line="240" w:lineRule="auto"/>
        <w:ind w:left="360" w:hanging="360"/>
        <w:jc w:val="both"/>
        <w:rPr>
          <w:rFonts w:ascii="Aptos" w:eastAsia="Times New Roman" w:hAnsi="Aptos" w:cs="Arial"/>
        </w:rPr>
      </w:pPr>
      <w:r w:rsidRPr="00F346C5">
        <w:rPr>
          <w:rFonts w:ascii="Aptos" w:eastAsia="Times New Roman" w:hAnsi="Aptos" w:cs="Arial"/>
          <w:b/>
        </w:rPr>
        <w:t>A.</w:t>
      </w:r>
      <w:r w:rsidRPr="00F346C5">
        <w:rPr>
          <w:rFonts w:ascii="Aptos" w:eastAsia="Times New Roman" w:hAnsi="Aptos" w:cs="Arial"/>
          <w:b/>
        </w:rPr>
        <w:tab/>
        <w:t xml:space="preserve">Commitments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rPr>
        <w:t xml:space="preserve">The College has established an encumbrance system to track its outstanding commitments on construction projects and other purchases. Outstanding commitments on construction contracts were $________ and on other purchases were $________ at </w:t>
      </w:r>
      <w:r w:rsidR="00D001EB" w:rsidRPr="00F346C5">
        <w:rPr>
          <w:rFonts w:ascii="Aptos" w:eastAsia="Times New Roman" w:hAnsi="Aptos" w:cs="Arial"/>
        </w:rPr>
        <w:t xml:space="preserve">June 30, </w:t>
      </w:r>
      <w:r w:rsidR="001B29B4" w:rsidRPr="0019002A">
        <w:rPr>
          <w:rFonts w:ascii="Aptos" w:eastAsia="Times New Roman" w:hAnsi="Aptos" w:cs="Arial"/>
        </w:rPr>
        <w:t>2026</w:t>
      </w:r>
      <w:r w:rsidRPr="00F346C5">
        <w:rPr>
          <w:rFonts w:ascii="Aptos" w:eastAsia="Times New Roman" w:hAnsi="Aptos" w:cs="Arial"/>
        </w:rPr>
        <w:t xml:space="preserve">. </w:t>
      </w:r>
      <w:r w:rsidRPr="00F346C5">
        <w:rPr>
          <w:rFonts w:ascii="Aptos" w:eastAsia="Times New Roman" w:hAnsi="Aptos" w:cs="Arial"/>
          <w:b/>
          <w:i/>
          <w:color w:val="0000FF"/>
        </w:rPr>
        <w:t>[Modify as considered necessary. Other purchases that are not significant to the financial statements may be omitted.]</w:t>
      </w:r>
    </w:p>
    <w:p w14:paraId="72D6876A" w14:textId="77777777" w:rsidR="009D62EA" w:rsidRPr="00F346C5" w:rsidRDefault="009D62EA" w:rsidP="009D62EA">
      <w:pPr>
        <w:tabs>
          <w:tab w:val="left" w:pos="1560"/>
        </w:tabs>
        <w:spacing w:after="240" w:line="240" w:lineRule="auto"/>
        <w:ind w:left="360" w:hanging="360"/>
        <w:jc w:val="both"/>
        <w:rPr>
          <w:rFonts w:ascii="Aptos" w:eastAsia="Times New Roman" w:hAnsi="Aptos" w:cs="Arial"/>
          <w:b/>
          <w:bCs/>
          <w:i/>
          <w:iCs/>
          <w:smallCaps/>
          <w:color w:val="0000FF"/>
        </w:rPr>
      </w:pPr>
      <w:r w:rsidRPr="00F346C5">
        <w:rPr>
          <w:rFonts w:ascii="Aptos" w:eastAsia="Times New Roman" w:hAnsi="Aptos" w:cs="Arial"/>
          <w:b/>
        </w:rPr>
        <w:t>B.</w:t>
      </w:r>
      <w:r w:rsidRPr="00F346C5">
        <w:rPr>
          <w:rFonts w:ascii="Aptos" w:eastAsia="Times New Roman" w:hAnsi="Aptos" w:cs="Arial"/>
          <w:b/>
        </w:rPr>
        <w:tab/>
        <w:t xml:space="preserve">Pending Litigation and Claims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b/>
          <w:bCs/>
          <w:i/>
          <w:iCs/>
          <w:smallCaps/>
          <w:color w:val="0000FF"/>
        </w:rPr>
        <w:t>[</w:t>
      </w:r>
      <w:r w:rsidRPr="00F346C5">
        <w:rPr>
          <w:rFonts w:ascii="Aptos" w:eastAsia="Times New Roman" w:hAnsi="Aptos" w:cs="Arial"/>
          <w:b/>
          <w:bCs/>
          <w:i/>
          <w:iCs/>
          <w:color w:val="0000FF"/>
        </w:rPr>
        <w:t>Describe any pending litigation or claims that could have a material effect on the financial statements</w:t>
      </w:r>
      <w:r w:rsidRPr="00F346C5">
        <w:rPr>
          <w:rFonts w:ascii="Aptos" w:eastAsia="Times New Roman" w:hAnsi="Aptos" w:cs="Arial"/>
          <w:b/>
          <w:bCs/>
          <w:i/>
          <w:iCs/>
          <w:smallCaps/>
          <w:color w:val="0000FF"/>
        </w:rPr>
        <w:t>.]</w:t>
      </w:r>
      <w:r w:rsidRPr="00F346C5">
        <w:rPr>
          <w:rFonts w:ascii="Aptos" w:eastAsia="Times New Roman" w:hAnsi="Aptos" w:cs="Arial"/>
        </w:rPr>
        <w:t xml:space="preserve"> The College is a party to </w:t>
      </w:r>
      <w:r w:rsidRPr="00F346C5">
        <w:rPr>
          <w:rFonts w:ascii="Aptos" w:eastAsia="Times New Roman" w:hAnsi="Aptos" w:cs="Arial"/>
          <w:i/>
        </w:rPr>
        <w:t>[other]</w:t>
      </w:r>
      <w:r w:rsidRPr="00F346C5">
        <w:rPr>
          <w:rFonts w:ascii="Aptos" w:eastAsia="Times New Roman" w:hAnsi="Aptos" w:cs="Arial"/>
        </w:rPr>
        <w:t xml:space="preserve"> litigation and claims in the ordinary course of its operations. Since it is not possible to predict the ultimate outcome of these matters, no provision for any liability has been made in the financial statements. College management is of the opinion that the liability, if any, for any of these matters will not have a material adverse effect on the financial position of the College. </w:t>
      </w:r>
      <w:r w:rsidRPr="00F346C5">
        <w:rPr>
          <w:rFonts w:ascii="Aptos" w:eastAsia="Times New Roman" w:hAnsi="Aptos" w:cs="Arial"/>
          <w:b/>
          <w:i/>
          <w:color w:val="0000FF"/>
        </w:rPr>
        <w:t>[Omit if not applicable.]</w:t>
      </w:r>
    </w:p>
    <w:p w14:paraId="2B15D031" w14:textId="77777777" w:rsidR="009D62EA" w:rsidRPr="00F346C5" w:rsidRDefault="009D62EA" w:rsidP="009D62EA">
      <w:pPr>
        <w:tabs>
          <w:tab w:val="left" w:pos="1560"/>
        </w:tabs>
        <w:spacing w:after="240" w:line="240" w:lineRule="auto"/>
        <w:ind w:left="360" w:hanging="360"/>
        <w:jc w:val="both"/>
        <w:rPr>
          <w:rFonts w:ascii="Aptos" w:eastAsia="Times New Roman" w:hAnsi="Aptos" w:cs="Arial"/>
          <w:b/>
          <w:bCs/>
          <w:i/>
          <w:iCs/>
          <w:smallCaps/>
          <w:color w:val="000000"/>
        </w:rPr>
      </w:pPr>
      <w:r w:rsidRPr="00F346C5">
        <w:rPr>
          <w:rFonts w:ascii="Aptos" w:eastAsia="Times New Roman" w:hAnsi="Aptos" w:cs="Arial"/>
          <w:b/>
        </w:rPr>
        <w:t>C.</w:t>
      </w:r>
      <w:r w:rsidRPr="00F346C5">
        <w:rPr>
          <w:rFonts w:ascii="Aptos" w:eastAsia="Times New Roman" w:hAnsi="Aptos" w:cs="Arial"/>
          <w:b/>
        </w:rPr>
        <w:tab/>
        <w:t xml:space="preserve">Other Contingent Receivables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b/>
          <w:bCs/>
          <w:i/>
          <w:iCs/>
          <w:smallCaps/>
          <w:color w:val="0000FF"/>
        </w:rPr>
        <w:t>[</w:t>
      </w:r>
      <w:r w:rsidRPr="00F346C5">
        <w:rPr>
          <w:rFonts w:ascii="Aptos" w:eastAsia="Times New Roman" w:hAnsi="Aptos" w:cs="Arial"/>
          <w:b/>
          <w:bCs/>
          <w:i/>
          <w:iCs/>
          <w:color w:val="0000FF"/>
        </w:rPr>
        <w:t>Describe any other contingent receivable resulting from nonexchange transactions for which disclosure has not already been made that could have a material effect on the financial statements</w:t>
      </w:r>
      <w:r w:rsidRPr="00F346C5">
        <w:rPr>
          <w:rFonts w:ascii="Aptos" w:eastAsia="Times New Roman" w:hAnsi="Aptos" w:cs="Arial"/>
          <w:b/>
          <w:bCs/>
          <w:i/>
          <w:iCs/>
          <w:smallCaps/>
          <w:color w:val="0000FF"/>
        </w:rPr>
        <w:t>.]</w:t>
      </w:r>
      <w:r w:rsidRPr="00F346C5">
        <w:rPr>
          <w:rFonts w:ascii="Aptos" w:eastAsia="Times New Roman" w:hAnsi="Aptos" w:cs="Arial"/>
          <w:bCs/>
          <w:iCs/>
          <w:smallCaps/>
          <w:color w:val="000000"/>
        </w:rPr>
        <w:t xml:space="preserve"> </w:t>
      </w:r>
      <w:r w:rsidRPr="00F346C5">
        <w:rPr>
          <w:rFonts w:ascii="Aptos" w:eastAsia="Times New Roman" w:hAnsi="Aptos" w:cs="Arial"/>
          <w:color w:val="000000"/>
        </w:rPr>
        <w:t>T</w:t>
      </w:r>
      <w:r w:rsidRPr="00F346C5">
        <w:rPr>
          <w:rFonts w:ascii="Aptos" w:eastAsia="Times New Roman" w:hAnsi="Aptos" w:cs="Arial"/>
        </w:rPr>
        <w:t xml:space="preserve">he College has received notification of other gifts and grants for which funds have not been disbursed by the resource provider and for which conditions attached to the gift or grant have not been satisfied or, in the case of permanent endowments, cannot begin to be satisfied. In accordance with accounting principles generally accepted in the United States of America, these amounts have not been recorded on the accompanying financial statements. The purpose and amount of other contingent receivables at year-end are as </w:t>
      </w:r>
      <w:r w:rsidRPr="00F346C5">
        <w:rPr>
          <w:rFonts w:ascii="Aptos" w:eastAsia="Times New Roman" w:hAnsi="Aptos" w:cs="Arial"/>
          <w:color w:val="000000"/>
        </w:rPr>
        <w:t>follows:</w:t>
      </w:r>
    </w:p>
    <w:bookmarkStart w:id="349" w:name="_1220949540"/>
    <w:bookmarkStart w:id="350" w:name="_1188278645"/>
    <w:bookmarkStart w:id="351" w:name="_Hlk199505173"/>
    <w:bookmarkEnd w:id="349"/>
    <w:bookmarkEnd w:id="350"/>
    <w:bookmarkStart w:id="352" w:name="_MON_1119091993"/>
    <w:bookmarkEnd w:id="352"/>
    <w:p w14:paraId="7EE0A3D1" w14:textId="5AA48D70" w:rsidR="009D62EA" w:rsidRPr="00F346C5" w:rsidRDefault="0096747C" w:rsidP="009D62EA">
      <w:pPr>
        <w:spacing w:after="240" w:line="240" w:lineRule="auto"/>
        <w:ind w:left="360"/>
        <w:jc w:val="center"/>
        <w:rPr>
          <w:rFonts w:ascii="Aptos" w:eastAsia="Times New Roman" w:hAnsi="Aptos" w:cs="Arial"/>
        </w:rPr>
      </w:pPr>
      <w:r w:rsidRPr="00F346C5">
        <w:rPr>
          <w:rFonts w:ascii="Aptos" w:eastAsia="Times New Roman" w:hAnsi="Aptos" w:cs="Arial"/>
        </w:rPr>
        <w:object w:dxaOrig="6294" w:dyaOrig="816" w14:anchorId="57768ADB">
          <v:shape id="_x0000_i1060" type="#_x0000_t75" style="width:297.75pt;height:42pt" o:ole="">
            <v:imagedata r:id="rId97" o:title=""/>
          </v:shape>
          <o:OLEObject Type="Embed" ProgID="Excel.Sheet.8" ShapeID="_x0000_i1060" DrawAspect="Content" ObjectID="_1843297363" r:id="rId98"/>
        </w:object>
      </w:r>
      <w:bookmarkEnd w:id="351"/>
    </w:p>
    <w:p w14:paraId="0AF975BA" w14:textId="77777777" w:rsidR="009D62EA" w:rsidRPr="00F346C5" w:rsidRDefault="009D62EA" w:rsidP="009D62EA">
      <w:pPr>
        <w:tabs>
          <w:tab w:val="left" w:pos="1080"/>
        </w:tabs>
        <w:spacing w:after="240" w:line="240" w:lineRule="auto"/>
        <w:ind w:left="360"/>
        <w:rPr>
          <w:rFonts w:ascii="Aptos" w:eastAsia="Times New Roman" w:hAnsi="Aptos" w:cs="Arial"/>
          <w:b/>
          <w:bCs/>
          <w:i/>
          <w:iCs/>
          <w:color w:val="0000FF"/>
        </w:rPr>
      </w:pPr>
      <w:r w:rsidRPr="00F346C5">
        <w:rPr>
          <w:rFonts w:ascii="Aptos" w:eastAsia="Times New Roman" w:hAnsi="Aptos" w:cs="Arial"/>
          <w:b/>
          <w:bCs/>
          <w:i/>
          <w:iCs/>
          <w:color w:val="0000FF"/>
        </w:rPr>
        <w:t>[Omit if not applicable.]</w:t>
      </w:r>
    </w:p>
    <w:p w14:paraId="1F260A28" w14:textId="77777777" w:rsidR="009D62EA" w:rsidRPr="00F346C5" w:rsidRDefault="009D62EA"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bookmarkStart w:id="353" w:name="_Hlk44321483"/>
      <w:r w:rsidRPr="00F346C5">
        <w:rPr>
          <w:rFonts w:ascii="Aptos" w:eastAsia="Times New Roman" w:hAnsi="Aptos" w:cs="Times New Roman"/>
          <w:b/>
          <w:kern w:val="28"/>
        </w:rPr>
        <w:t>Note 18</w:t>
      </w:r>
      <w:r w:rsidRPr="00F346C5">
        <w:rPr>
          <w:rFonts w:ascii="Aptos" w:eastAsia="Times New Roman" w:hAnsi="Aptos" w:cs="Times New Roman"/>
          <w:b/>
          <w:kern w:val="28"/>
        </w:rPr>
        <w:tab/>
        <w:t>-</w:t>
      </w:r>
      <w:r w:rsidRPr="00F346C5">
        <w:rPr>
          <w:rFonts w:ascii="Aptos" w:eastAsia="Times New Roman" w:hAnsi="Aptos" w:cs="Times New Roman"/>
          <w:b/>
          <w:kern w:val="28"/>
        </w:rPr>
        <w:tab/>
      </w:r>
      <w:r w:rsidRPr="00F3234E">
        <w:rPr>
          <w:rFonts w:ascii="Aptos" w:eastAsia="Times New Roman" w:hAnsi="Aptos" w:cs="Times New Roman"/>
          <w:b/>
          <w:color w:val="0000FF"/>
          <w:kern w:val="28"/>
        </w:rPr>
        <w:t>[Title]</w:t>
      </w:r>
      <w:r w:rsidRPr="00F3234E" w:rsidDel="00EE42A9">
        <w:rPr>
          <w:rFonts w:ascii="Aptos" w:eastAsia="Times New Roman" w:hAnsi="Aptos" w:cs="Times New Roman"/>
          <w:b/>
          <w:color w:val="0000FF"/>
          <w:kern w:val="28"/>
        </w:rPr>
        <w:t xml:space="preserve"> </w:t>
      </w:r>
    </w:p>
    <w:p w14:paraId="1160731B" w14:textId="2FB76F37" w:rsidR="009D62EA" w:rsidRPr="00F346C5" w:rsidRDefault="009D62EA" w:rsidP="009D62EA">
      <w:pPr>
        <w:spacing w:after="240" w:line="240" w:lineRule="auto"/>
        <w:jc w:val="both"/>
        <w:rPr>
          <w:rFonts w:ascii="Aptos" w:eastAsia="Times New Roman" w:hAnsi="Aptos" w:cs="Arial"/>
          <w:b/>
          <w:bCs/>
          <w:i/>
          <w:iCs/>
          <w:color w:val="0000FF"/>
        </w:rPr>
      </w:pPr>
      <w:r w:rsidRPr="00F346C5">
        <w:rPr>
          <w:rFonts w:ascii="Aptos" w:eastAsia="Times New Roman" w:hAnsi="Aptos" w:cs="Arial"/>
          <w:b/>
          <w:bCs/>
          <w:i/>
          <w:iCs/>
          <w:color w:val="0000FF"/>
        </w:rPr>
        <w:t xml:space="preserve">[Describe </w:t>
      </w:r>
      <w:bookmarkStart w:id="354" w:name="_Hlk44052096"/>
      <w:r w:rsidR="00F76BDB" w:rsidRPr="00F346C5">
        <w:rPr>
          <w:rFonts w:ascii="Aptos" w:eastAsia="Times New Roman" w:hAnsi="Aptos" w:cs="Arial"/>
          <w:b/>
          <w:bCs/>
          <w:i/>
          <w:iCs/>
          <w:color w:val="0000FF"/>
        </w:rPr>
        <w:t xml:space="preserve">any significant transactions or events that are either unusual or infrequent but not within control of management. A separate disclosure may be required for any government combination and/or disposals of government operations subject to disclosure per GASB 69. </w:t>
      </w:r>
      <w:r w:rsidR="00F76BDB" w:rsidRPr="00F346C5">
        <w:rPr>
          <w:rFonts w:ascii="Aptos" w:eastAsia="Times New Roman" w:hAnsi="Aptos" w:cs="Arial"/>
          <w:b/>
          <w:bCs/>
          <w:i/>
          <w:iCs/>
          <w:color w:val="0000FF"/>
        </w:rPr>
        <w:lastRenderedPageBreak/>
        <w:t>Note that these would be disclosures separate from any items deemed ‘unusual or infrequent’ in nature.]</w:t>
      </w:r>
    </w:p>
    <w:bookmarkEnd w:id="353"/>
    <w:bookmarkEnd w:id="354"/>
    <w:p w14:paraId="3C2C8CBB" w14:textId="77777777" w:rsidR="009D62EA" w:rsidRPr="00F346C5" w:rsidRDefault="009D62EA"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r w:rsidRPr="00F346C5">
        <w:rPr>
          <w:rFonts w:ascii="Aptos" w:eastAsia="Times New Roman" w:hAnsi="Aptos" w:cs="Times New Roman"/>
          <w:b/>
          <w:kern w:val="28"/>
        </w:rPr>
        <w:t>Note 19</w:t>
      </w:r>
      <w:r w:rsidRPr="00F346C5">
        <w:rPr>
          <w:rFonts w:ascii="Aptos" w:eastAsia="Times New Roman" w:hAnsi="Aptos" w:cs="Times New Roman"/>
          <w:b/>
          <w:kern w:val="28"/>
        </w:rPr>
        <w:tab/>
        <w:t>-</w:t>
      </w:r>
      <w:r w:rsidRPr="00F346C5">
        <w:rPr>
          <w:rFonts w:ascii="Aptos" w:eastAsia="Times New Roman" w:hAnsi="Aptos" w:cs="Times New Roman"/>
          <w:b/>
          <w:kern w:val="28"/>
        </w:rPr>
        <w:tab/>
        <w:t xml:space="preserve">Related Parties </w:t>
      </w:r>
    </w:p>
    <w:p w14:paraId="141FA513" w14:textId="77777777" w:rsidR="009D62EA" w:rsidRPr="00F346C5" w:rsidRDefault="009D62EA" w:rsidP="009D62EA">
      <w:pPr>
        <w:spacing w:after="240" w:line="240" w:lineRule="auto"/>
        <w:jc w:val="both"/>
        <w:rPr>
          <w:rFonts w:ascii="Aptos" w:eastAsia="Times New Roman" w:hAnsi="Aptos" w:cs="Arial"/>
          <w:b/>
          <w:i/>
          <w:color w:val="0000FF"/>
        </w:rPr>
      </w:pPr>
      <w:r w:rsidRPr="00F346C5">
        <w:rPr>
          <w:rFonts w:ascii="Aptos" w:eastAsia="Times New Roman" w:hAnsi="Aptos" w:cs="Arial"/>
          <w:b/>
          <w:i/>
          <w:color w:val="0000FF"/>
        </w:rPr>
        <w:t>[Describe related parties, such as foundations and nonprofit corporations (EXCLUDING COMPONENT UNITS THAT HAVE BEEN BLENDED WITH THE COLLEGE’S FINANCIAL STATEMENTS OR DISCRETELY PRESENTED UNDER GASB 39 REQUIREMENTS</w:t>
      </w:r>
      <w:bookmarkStart w:id="355" w:name="SigTrans"/>
      <w:r w:rsidRPr="00F346C5">
        <w:rPr>
          <w:rFonts w:ascii="Aptos" w:eastAsia="Times New Roman" w:hAnsi="Aptos" w:cs="Arial"/>
          <w:b/>
          <w:i/>
          <w:color w:val="0000FF"/>
        </w:rPr>
        <w:t xml:space="preserve"> as significant transactions for these entities are disclosed in Note 1</w:t>
      </w:r>
      <w:bookmarkEnd w:id="355"/>
      <w:r w:rsidRPr="00F346C5">
        <w:rPr>
          <w:rFonts w:ascii="Aptos" w:eastAsia="Times New Roman" w:hAnsi="Aptos" w:cs="Arial"/>
          <w:b/>
          <w:i/>
          <w:color w:val="0000FF"/>
        </w:rPr>
        <w:t>), and disclose the nature and amount of transactions between the College and the related party. For example:]</w:t>
      </w:r>
    </w:p>
    <w:p w14:paraId="1D0C73CA" w14:textId="27A1C6A2" w:rsidR="009D62EA" w:rsidRPr="00F346C5" w:rsidRDefault="009D62EA" w:rsidP="009D62EA">
      <w:pPr>
        <w:spacing w:after="240" w:line="240" w:lineRule="auto"/>
        <w:jc w:val="both"/>
        <w:rPr>
          <w:rFonts w:ascii="Aptos" w:eastAsia="Times New Roman" w:hAnsi="Aptos" w:cs="Arial"/>
        </w:rPr>
      </w:pPr>
      <w:r w:rsidRPr="00F346C5">
        <w:rPr>
          <w:rFonts w:ascii="Aptos" w:eastAsia="Times New Roman" w:hAnsi="Aptos" w:cs="Arial"/>
          <w:b/>
        </w:rPr>
        <w:t xml:space="preserve">Foundation </w:t>
      </w:r>
      <w:r w:rsidRPr="00F346C5">
        <w:rPr>
          <w:rFonts w:ascii="Aptos" w:eastAsia="Times New Roman" w:hAnsi="Aptos" w:cs="Arial"/>
        </w:rPr>
        <w:t>-</w:t>
      </w:r>
      <w:r w:rsidRPr="00F346C5">
        <w:rPr>
          <w:rFonts w:ascii="Aptos" w:eastAsia="Times New Roman" w:hAnsi="Aptos" w:cs="Arial"/>
          <w:b/>
        </w:rPr>
        <w:t xml:space="preserve"> </w:t>
      </w:r>
      <w:r w:rsidRPr="00F346C5">
        <w:rPr>
          <w:rFonts w:ascii="Aptos" w:eastAsia="Times New Roman" w:hAnsi="Aptos" w:cs="Arial"/>
        </w:rPr>
        <w:t xml:space="preserve">The </w:t>
      </w:r>
      <w:r w:rsidRPr="00F346C5">
        <w:rPr>
          <w:rFonts w:ascii="Aptos" w:eastAsia="Times New Roman" w:hAnsi="Aptos" w:cs="Arial"/>
          <w:b/>
          <w:color w:val="0000FF"/>
        </w:rPr>
        <w:t>[name of the foundation]</w:t>
      </w:r>
      <w:r w:rsidRPr="00F346C5">
        <w:rPr>
          <w:rFonts w:ascii="Aptos" w:eastAsia="Times New Roman" w:hAnsi="Aptos" w:cs="Arial"/>
        </w:rPr>
        <w:t xml:space="preserve"> is a separately incorporated, nonprofit foundation associated with the College. This organization serves as the primary fundraising arm of the College through which individuals, corporations, and other organizations support College programs by providing scholarships, fellowships, faculty salary supplements, and unrestricted funds to specific departments and the College’s overall academic environment. The College’s financial statements do not include the assets, liabilities, net position, or operational transactions of the Foundation, except for support from the Foundation. This support approximated $_______ for the year ended </w:t>
      </w:r>
      <w:r w:rsidR="00D001EB" w:rsidRPr="00F346C5">
        <w:rPr>
          <w:rFonts w:ascii="Aptos" w:eastAsia="Times New Roman" w:hAnsi="Aptos" w:cs="Arial"/>
        </w:rPr>
        <w:t xml:space="preserve">June 30, </w:t>
      </w:r>
      <w:r w:rsidR="001B29B4" w:rsidRPr="0019002A">
        <w:rPr>
          <w:rFonts w:ascii="Aptos" w:eastAsia="Times New Roman" w:hAnsi="Aptos" w:cs="Arial"/>
        </w:rPr>
        <w:t>2026</w:t>
      </w:r>
      <w:r w:rsidRPr="00F346C5">
        <w:rPr>
          <w:rFonts w:ascii="Aptos" w:eastAsia="Times New Roman" w:hAnsi="Aptos" w:cs="Arial"/>
        </w:rPr>
        <w:t xml:space="preserve">. </w:t>
      </w:r>
      <w:r w:rsidRPr="00F346C5">
        <w:rPr>
          <w:rFonts w:ascii="Aptos" w:hAnsi="Aptos" w:cs="Arial"/>
        </w:rPr>
        <w:t>The College had receivables from and payables to the related party</w:t>
      </w:r>
      <w:r w:rsidRPr="00F346C5">
        <w:rPr>
          <w:rFonts w:ascii="Aptos" w:hAnsi="Aptos" w:cs="Arial"/>
          <w:b/>
          <w:color w:val="0000FF"/>
        </w:rPr>
        <w:t>(ies)</w:t>
      </w:r>
      <w:r w:rsidRPr="00F346C5">
        <w:rPr>
          <w:rFonts w:ascii="Aptos" w:hAnsi="Aptos" w:cs="Arial"/>
        </w:rPr>
        <w:t xml:space="preserve"> of $_____ and $_____, respectively, as of </w:t>
      </w:r>
      <w:r w:rsidR="00D001EB" w:rsidRPr="00F346C5">
        <w:rPr>
          <w:rFonts w:ascii="Aptos" w:hAnsi="Aptos" w:cs="Arial"/>
        </w:rPr>
        <w:t xml:space="preserve">June 30, </w:t>
      </w:r>
      <w:r w:rsidR="001B29B4" w:rsidRPr="0019002A">
        <w:rPr>
          <w:rFonts w:ascii="Aptos" w:hAnsi="Aptos" w:cs="Arial"/>
        </w:rPr>
        <w:t>2026</w:t>
      </w:r>
      <w:r w:rsidRPr="00F346C5">
        <w:rPr>
          <w:rFonts w:ascii="Aptos" w:hAnsi="Aptos" w:cs="Arial"/>
        </w:rPr>
        <w:t xml:space="preserve">. </w:t>
      </w:r>
      <w:r w:rsidRPr="00F346C5">
        <w:rPr>
          <w:rFonts w:ascii="Aptos" w:hAnsi="Aptos" w:cs="Arial"/>
          <w:b/>
          <w:i/>
          <w:color w:val="0000FF"/>
        </w:rPr>
        <w:t>[Remove receivable and/or payable language if not applicable.]</w:t>
      </w:r>
    </w:p>
    <w:p w14:paraId="01C2D478" w14:textId="77777777" w:rsidR="009D62EA" w:rsidRPr="00F346C5" w:rsidRDefault="009D62EA"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bookmarkStart w:id="356" w:name="OLE_LINK3"/>
      <w:r w:rsidRPr="00F346C5">
        <w:rPr>
          <w:rFonts w:ascii="Aptos" w:eastAsia="Times New Roman" w:hAnsi="Aptos" w:cs="Times New Roman"/>
          <w:b/>
          <w:kern w:val="28"/>
        </w:rPr>
        <w:t>Note 20</w:t>
      </w:r>
      <w:r w:rsidRPr="00F346C5">
        <w:rPr>
          <w:rFonts w:ascii="Aptos" w:eastAsia="Times New Roman" w:hAnsi="Aptos" w:cs="Times New Roman"/>
          <w:b/>
          <w:kern w:val="28"/>
        </w:rPr>
        <w:tab/>
        <w:t>-</w:t>
      </w:r>
      <w:r w:rsidRPr="00F346C5">
        <w:rPr>
          <w:rFonts w:ascii="Aptos" w:eastAsia="Times New Roman" w:hAnsi="Aptos" w:cs="Times New Roman"/>
          <w:b/>
          <w:kern w:val="28"/>
        </w:rPr>
        <w:tab/>
        <w:t>Blended Component Unit(s)</w:t>
      </w:r>
    </w:p>
    <w:p w14:paraId="2A5DA908" w14:textId="044DFEE2" w:rsidR="009D62EA" w:rsidRPr="00F346C5" w:rsidRDefault="009D62EA" w:rsidP="009D62EA">
      <w:pPr>
        <w:spacing w:after="240" w:line="240" w:lineRule="auto"/>
        <w:jc w:val="both"/>
        <w:rPr>
          <w:rFonts w:ascii="Aptos" w:eastAsia="Times New Roman" w:hAnsi="Aptos" w:cs="Arial"/>
        </w:rPr>
      </w:pPr>
      <w:bookmarkStart w:id="357" w:name="OLE_LINK66"/>
      <w:bookmarkEnd w:id="356"/>
      <w:r w:rsidRPr="00F346C5">
        <w:rPr>
          <w:rFonts w:ascii="Aptos" w:eastAsia="Times New Roman" w:hAnsi="Aptos" w:cs="Arial"/>
        </w:rPr>
        <w:t>Condensed combining information for the College’s blended component unit(</w:t>
      </w:r>
      <w:r w:rsidRPr="00F346C5">
        <w:rPr>
          <w:rFonts w:ascii="Aptos" w:eastAsia="Times New Roman" w:hAnsi="Aptos" w:cs="Arial"/>
          <w:i/>
        </w:rPr>
        <w:t>s</w:t>
      </w:r>
      <w:r w:rsidRPr="00F346C5">
        <w:rPr>
          <w:rFonts w:ascii="Aptos" w:eastAsia="Times New Roman" w:hAnsi="Aptos" w:cs="Arial"/>
        </w:rPr>
        <w:t xml:space="preserve">) for the year ended </w:t>
      </w:r>
      <w:r w:rsidR="00D001EB" w:rsidRPr="00F346C5">
        <w:rPr>
          <w:rFonts w:ascii="Aptos" w:eastAsia="Times New Roman" w:hAnsi="Aptos" w:cs="Arial"/>
        </w:rPr>
        <w:t xml:space="preserve">June 30, </w:t>
      </w:r>
      <w:r w:rsidR="001B29B4" w:rsidRPr="0019002A">
        <w:rPr>
          <w:rFonts w:ascii="Aptos" w:eastAsia="Times New Roman" w:hAnsi="Aptos" w:cs="Arial"/>
        </w:rPr>
        <w:t>2026</w:t>
      </w:r>
      <w:r w:rsidRPr="00F346C5">
        <w:rPr>
          <w:rFonts w:ascii="Aptos" w:eastAsia="Times New Roman" w:hAnsi="Aptos" w:cs="Arial"/>
        </w:rPr>
        <w:t xml:space="preserve">, is presented as follows: </w:t>
      </w:r>
    </w:p>
    <w:bookmarkEnd w:id="357"/>
    <w:p w14:paraId="662A5C8A" w14:textId="77777777" w:rsidR="009D62EA" w:rsidRPr="00F346C5" w:rsidRDefault="009D62EA" w:rsidP="009D62EA">
      <w:pPr>
        <w:spacing w:after="240" w:line="240" w:lineRule="auto"/>
        <w:jc w:val="both"/>
        <w:rPr>
          <w:rFonts w:ascii="Aptos" w:eastAsia="Times New Roman" w:hAnsi="Aptos" w:cs="Arial"/>
          <w:b/>
          <w:i/>
          <w:color w:val="0000FF"/>
        </w:rPr>
      </w:pPr>
      <w:r w:rsidRPr="00F346C5">
        <w:rPr>
          <w:rFonts w:ascii="Aptos" w:eastAsia="Times New Roman" w:hAnsi="Aptos" w:cs="Arial"/>
          <w:b/>
          <w:i/>
          <w:color w:val="0000FF"/>
        </w:rPr>
        <w:t xml:space="preserve">Note to preparer: See GASB 61 paragraph 9 for complete requirements of the condensed combining information. The following example template was developed based off on these requirements. Amounts in the primary government and Blended Component Unit columns should be gross before blending of the component units and any eliminations between the College and the component unit. The total column should agree to the respective financial statement. Amounts receivable from or payable to the primary government or other component units should be reported separately in the Eliminations columns in the SNP and SRECNP below. This elimination column should total to zero. If there are any significant eliminations that should be explained separately, add them below the condensed combining financial statements in a separate paragraph. Complete for all blended component units. Modify as necessary. </w:t>
      </w:r>
    </w:p>
    <w:p w14:paraId="022D19AA" w14:textId="77777777" w:rsidR="009D62EA" w:rsidRPr="00F346C5" w:rsidRDefault="009D62EA" w:rsidP="009D62EA">
      <w:pPr>
        <w:spacing w:after="0" w:line="240" w:lineRule="auto"/>
        <w:jc w:val="both"/>
        <w:rPr>
          <w:rFonts w:ascii="Aptos" w:eastAsia="Times New Roman" w:hAnsi="Aptos" w:cs="Arial"/>
          <w:b/>
          <w:i/>
          <w:color w:val="0000FF"/>
        </w:rPr>
      </w:pPr>
    </w:p>
    <w:bookmarkStart w:id="358" w:name="_MON_1375524119"/>
    <w:bookmarkStart w:id="359" w:name="_MON_1401869000"/>
    <w:bookmarkStart w:id="360" w:name="_MON_1421065262"/>
    <w:bookmarkStart w:id="361" w:name="_MON_1421493705"/>
    <w:bookmarkStart w:id="362" w:name="_MON_1421493804"/>
    <w:bookmarkStart w:id="363" w:name="_MON_1421494123"/>
    <w:bookmarkStart w:id="364" w:name="_MON_1421494145"/>
    <w:bookmarkStart w:id="365" w:name="_MON_1421494169"/>
    <w:bookmarkStart w:id="366" w:name="_MON_1421494404"/>
    <w:bookmarkStart w:id="367" w:name="_MON_1421494417"/>
    <w:bookmarkStart w:id="368" w:name="_MON_1421494764"/>
    <w:bookmarkStart w:id="369" w:name="_MON_1421495003"/>
    <w:bookmarkStart w:id="370" w:name="_MON_1421495088"/>
    <w:bookmarkStart w:id="371" w:name="_MON_1421495198"/>
    <w:bookmarkStart w:id="372" w:name="_MON_1421496347"/>
    <w:bookmarkStart w:id="373" w:name="_MON_1421497165"/>
    <w:bookmarkStart w:id="374" w:name="_MON_1421497173"/>
    <w:bookmarkStart w:id="375" w:name="_MON_1421497208"/>
    <w:bookmarkStart w:id="376" w:name="_MON_1421497230"/>
    <w:bookmarkStart w:id="377" w:name="_MON_1421497284"/>
    <w:bookmarkStart w:id="378" w:name="_MON_1421497299"/>
    <w:bookmarkStart w:id="379" w:name="_MON_1421497310"/>
    <w:bookmarkStart w:id="380" w:name="_MON_1421497390"/>
    <w:bookmarkStart w:id="381" w:name="_MON_1421497509"/>
    <w:bookmarkStart w:id="382" w:name="_MON_1421497524"/>
    <w:bookmarkStart w:id="383" w:name="_1421497588"/>
    <w:bookmarkStart w:id="384" w:name="_MON_1421497115"/>
    <w:bookmarkStart w:id="385" w:name="_MON_1421497600"/>
    <w:bookmarkStart w:id="386" w:name="_MON_1421557221"/>
    <w:bookmarkStart w:id="387" w:name="_MON_1421561003"/>
    <w:bookmarkStart w:id="388" w:name="_MON_1421561212"/>
    <w:bookmarkStart w:id="389" w:name="_MON_1421561333"/>
    <w:bookmarkStart w:id="390" w:name="_MON_1421561345"/>
    <w:bookmarkStart w:id="391" w:name="_MON_1421561369"/>
    <w:bookmarkStart w:id="392" w:name="_MON_1421561386"/>
    <w:bookmarkStart w:id="393" w:name="_MON_1119000302"/>
    <w:bookmarkStart w:id="394" w:name="_MON_1119000470"/>
    <w:bookmarkStart w:id="395" w:name="_MON_1119089002"/>
    <w:bookmarkStart w:id="396" w:name="_MON_1119169473"/>
    <w:bookmarkStart w:id="397" w:name="_MON_1119169513"/>
    <w:bookmarkStart w:id="398" w:name="_MON_1148646629"/>
    <w:bookmarkStart w:id="399" w:name="_MON_1188219394"/>
    <w:bookmarkStart w:id="400" w:name="_MON_1188284564"/>
    <w:bookmarkStart w:id="401" w:name="_MON_1192364317"/>
    <w:bookmarkStart w:id="402" w:name="_MON_1208244789"/>
    <w:bookmarkStart w:id="403" w:name="_MON_1208245503"/>
    <w:bookmarkStart w:id="404" w:name="_MON_1220941085"/>
    <w:bookmarkStart w:id="405" w:name="_MON_1220941113"/>
    <w:bookmarkStart w:id="406" w:name="_MON_1220941418"/>
    <w:bookmarkStart w:id="407" w:name="_MON_1220941431"/>
    <w:bookmarkStart w:id="408" w:name="_MON_1243143787"/>
    <w:bookmarkStart w:id="409" w:name="_MON_1246779975"/>
    <w:bookmarkStart w:id="410" w:name="_MON_1264248475"/>
    <w:bookmarkStart w:id="411" w:name="_1276942072"/>
    <w:bookmarkStart w:id="412" w:name="_MON_1283838914"/>
    <w:bookmarkStart w:id="413" w:name="_MON_1300273530"/>
    <w:bookmarkStart w:id="414" w:name="_MON_1302418691"/>
    <w:bookmarkStart w:id="415" w:name="_MON_1331964682"/>
    <w:bookmarkStart w:id="416" w:name="_MON_1331965965"/>
    <w:bookmarkStart w:id="417" w:name="_MON_1340111319"/>
    <w:bookmarkStart w:id="418" w:name="_MON_1349263984"/>
    <w:bookmarkStart w:id="419" w:name="_MON_1349264014"/>
    <w:bookmarkStart w:id="420" w:name="_MON_1362377535"/>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Start w:id="421" w:name="_MON_1372850722"/>
    <w:bookmarkEnd w:id="421"/>
    <w:p w14:paraId="173E4815" w14:textId="14343F90" w:rsidR="009D62EA" w:rsidRPr="00F346C5" w:rsidRDefault="008E4D8C" w:rsidP="009D62EA">
      <w:pPr>
        <w:spacing w:after="240" w:line="240" w:lineRule="auto"/>
        <w:jc w:val="center"/>
        <w:rPr>
          <w:rFonts w:ascii="Aptos" w:eastAsia="Times New Roman" w:hAnsi="Aptos" w:cs="Arial"/>
        </w:rPr>
      </w:pPr>
      <w:r w:rsidRPr="00F346C5">
        <w:rPr>
          <w:rFonts w:ascii="Aptos" w:eastAsia="Times New Roman" w:hAnsi="Aptos" w:cs="Arial"/>
        </w:rPr>
        <w:object w:dxaOrig="13280" w:dyaOrig="6872" w14:anchorId="79B9D57D">
          <v:shape id="_x0000_i1061" type="#_x0000_t75" style="width:498.75pt;height:282pt" o:ole="">
            <v:imagedata r:id="rId99" o:title=""/>
          </v:shape>
          <o:OLEObject Type="Embed" ProgID="Excel.Sheet.12" ShapeID="_x0000_i1061" DrawAspect="Content" ObjectID="_1843297364" r:id="rId100"/>
        </w:object>
      </w:r>
    </w:p>
    <w:bookmarkStart w:id="422" w:name="_1560459873"/>
    <w:bookmarkStart w:id="423" w:name="_1560463171"/>
    <w:bookmarkStart w:id="424" w:name="_MON_1421497343"/>
    <w:bookmarkEnd w:id="422"/>
    <w:bookmarkEnd w:id="423"/>
    <w:bookmarkEnd w:id="424"/>
    <w:bookmarkStart w:id="425" w:name="_MON_1581769595"/>
    <w:bookmarkEnd w:id="425"/>
    <w:p w14:paraId="4B5FFF62" w14:textId="3F37E943" w:rsidR="009D62EA" w:rsidRPr="00F346C5" w:rsidRDefault="0019002A" w:rsidP="009D62EA">
      <w:pPr>
        <w:spacing w:after="240" w:line="240" w:lineRule="auto"/>
        <w:jc w:val="center"/>
        <w:rPr>
          <w:rFonts w:ascii="Aptos" w:eastAsia="Times New Roman" w:hAnsi="Aptos" w:cs="Arial"/>
        </w:rPr>
      </w:pPr>
      <w:r>
        <w:rPr>
          <w:rFonts w:ascii="Aptos" w:hAnsi="Aptos"/>
        </w:rPr>
        <w:object w:dxaOrig="14282" w:dyaOrig="12116" w14:anchorId="2726A1FD">
          <v:shape id="_x0000_i1062" type="#_x0000_t75" style="width:519.75pt;height:524.25pt" o:ole="">
            <v:imagedata r:id="rId101" o:title=""/>
          </v:shape>
          <o:OLEObject Type="Embed" ProgID="Excel.Sheet.12" ShapeID="_x0000_i1062" DrawAspect="Content" ObjectID="_1843297365" r:id="rId102"/>
        </w:object>
      </w:r>
    </w:p>
    <w:bookmarkStart w:id="426" w:name="_1560459990"/>
    <w:bookmarkStart w:id="427" w:name="_1559112667"/>
    <w:bookmarkEnd w:id="426"/>
    <w:bookmarkEnd w:id="427"/>
    <w:bookmarkStart w:id="428" w:name="_MON_1843049847"/>
    <w:bookmarkEnd w:id="428"/>
    <w:p w14:paraId="3CD53475" w14:textId="5EFC7BEA" w:rsidR="009D62EA" w:rsidRPr="00F346C5" w:rsidRDefault="003C1C7C" w:rsidP="00E503F9">
      <w:pPr>
        <w:spacing w:after="240" w:line="240" w:lineRule="auto"/>
        <w:ind w:left="-900"/>
        <w:jc w:val="center"/>
        <w:rPr>
          <w:rFonts w:ascii="Aptos" w:eastAsia="Times New Roman" w:hAnsi="Aptos" w:cs="Arial"/>
        </w:rPr>
      </w:pPr>
      <w:r>
        <w:rPr>
          <w:rFonts w:ascii="Aptos" w:hAnsi="Aptos"/>
        </w:rPr>
        <w:object w:dxaOrig="17595" w:dyaOrig="4067" w14:anchorId="50DD73C2">
          <v:shape id="_x0000_i1063" type="#_x0000_t75" style="width:540.75pt;height:134.25pt" o:ole="">
            <v:imagedata r:id="rId103" o:title=""/>
          </v:shape>
          <o:OLEObject Type="Embed" ProgID="Excel.Sheet.12" ShapeID="_x0000_i1063" DrawAspect="Content" ObjectID="_1843297366" r:id="rId104"/>
        </w:object>
      </w:r>
    </w:p>
    <w:p w14:paraId="5A4A4EE2" w14:textId="77777777" w:rsidR="009D62EA" w:rsidRPr="00F346C5" w:rsidRDefault="009D62EA"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r w:rsidRPr="00F346C5">
        <w:rPr>
          <w:rFonts w:ascii="Aptos" w:eastAsia="Times New Roman" w:hAnsi="Aptos" w:cs="Times New Roman"/>
          <w:b/>
          <w:kern w:val="28"/>
        </w:rPr>
        <w:t>Note 21</w:t>
      </w:r>
      <w:r w:rsidRPr="00F346C5">
        <w:rPr>
          <w:rFonts w:ascii="Aptos" w:eastAsia="Times New Roman" w:hAnsi="Aptos" w:cs="Times New Roman"/>
          <w:b/>
          <w:kern w:val="28"/>
        </w:rPr>
        <w:tab/>
        <w:t xml:space="preserve"> - </w:t>
      </w:r>
      <w:r w:rsidRPr="00F346C5">
        <w:rPr>
          <w:rFonts w:ascii="Aptos" w:eastAsia="Times New Roman" w:hAnsi="Aptos" w:cs="Times New Roman"/>
          <w:b/>
          <w:kern w:val="28"/>
        </w:rPr>
        <w:tab/>
        <w:t>Changes in Financial Accounting and Reporting</w:t>
      </w:r>
    </w:p>
    <w:p w14:paraId="3F8EE418" w14:textId="172AB247" w:rsidR="007F7080" w:rsidRPr="00F346C5" w:rsidRDefault="009D62EA" w:rsidP="007F7080">
      <w:pPr>
        <w:spacing w:after="240" w:line="240" w:lineRule="auto"/>
        <w:jc w:val="both"/>
        <w:rPr>
          <w:rFonts w:ascii="Aptos" w:eastAsia="Times New Roman" w:hAnsi="Aptos" w:cs="Arial"/>
        </w:rPr>
      </w:pPr>
      <w:r w:rsidRPr="00F346C5">
        <w:rPr>
          <w:rFonts w:ascii="Aptos" w:eastAsia="Times New Roman" w:hAnsi="Aptos" w:cs="Arial"/>
        </w:rPr>
        <w:t xml:space="preserve">For the fiscal year ended </w:t>
      </w:r>
      <w:r w:rsidR="00D001EB" w:rsidRPr="00F346C5">
        <w:rPr>
          <w:rFonts w:ascii="Aptos" w:eastAsia="Times New Roman" w:hAnsi="Aptos" w:cs="Arial"/>
        </w:rPr>
        <w:t xml:space="preserve">June 30, </w:t>
      </w:r>
      <w:r w:rsidR="00516E1F" w:rsidRPr="00B531E4">
        <w:rPr>
          <w:rFonts w:ascii="Aptos" w:eastAsia="Times New Roman" w:hAnsi="Aptos" w:cs="Arial"/>
          <w:highlight w:val="yellow"/>
        </w:rPr>
        <w:t>2026</w:t>
      </w:r>
      <w:r w:rsidRPr="00F346C5">
        <w:rPr>
          <w:rFonts w:ascii="Aptos" w:eastAsia="Times New Roman" w:hAnsi="Aptos" w:cs="Arial"/>
        </w:rPr>
        <w:t xml:space="preserve">, the College implemented the following </w:t>
      </w:r>
      <w:r w:rsidR="007F7080" w:rsidRPr="00F346C5">
        <w:rPr>
          <w:rFonts w:ascii="Aptos" w:eastAsia="Times New Roman" w:hAnsi="Aptos" w:cs="Arial"/>
        </w:rPr>
        <w:t>pronouncement</w:t>
      </w:r>
      <w:r w:rsidR="007F7080" w:rsidRPr="00F346C5">
        <w:rPr>
          <w:rFonts w:ascii="Aptos" w:eastAsia="Times New Roman" w:hAnsi="Aptos" w:cs="Arial"/>
          <w:b/>
          <w:bCs/>
          <w:i/>
          <w:iCs/>
          <w:color w:val="0000FF"/>
        </w:rPr>
        <w:t>(s)</w:t>
      </w:r>
      <w:r w:rsidR="007F7080" w:rsidRPr="00F346C5">
        <w:rPr>
          <w:rFonts w:ascii="Aptos" w:eastAsia="Times New Roman" w:hAnsi="Aptos" w:cs="Arial"/>
        </w:rPr>
        <w:t xml:space="preserve"> issued by the Governmental Accounting Standards Board (GASB):</w:t>
      </w:r>
    </w:p>
    <w:p w14:paraId="165E1D4E" w14:textId="77777777" w:rsidR="004972FA" w:rsidRPr="00B531E4" w:rsidRDefault="004972FA" w:rsidP="004972FA">
      <w:pPr>
        <w:spacing w:after="240" w:line="240" w:lineRule="auto"/>
        <w:ind w:left="720"/>
        <w:jc w:val="both"/>
        <w:rPr>
          <w:rFonts w:ascii="Aptos" w:eastAsia="Times New Roman" w:hAnsi="Aptos" w:cs="Arial"/>
          <w:i/>
          <w:highlight w:val="yellow"/>
        </w:rPr>
      </w:pPr>
      <w:r w:rsidRPr="00B531E4">
        <w:rPr>
          <w:rFonts w:ascii="Aptos" w:eastAsia="Times New Roman" w:hAnsi="Aptos" w:cs="Arial"/>
          <w:i/>
          <w:highlight w:val="yellow"/>
        </w:rPr>
        <w:t>GASB Statement No. 103, Financial Reporting Model Improvements</w:t>
      </w:r>
    </w:p>
    <w:p w14:paraId="3396F73A" w14:textId="77777777" w:rsidR="004972FA" w:rsidRPr="00B531E4" w:rsidRDefault="004972FA" w:rsidP="004972FA">
      <w:pPr>
        <w:spacing w:after="240" w:line="240" w:lineRule="auto"/>
        <w:ind w:left="720"/>
        <w:jc w:val="both"/>
        <w:rPr>
          <w:rFonts w:ascii="Aptos" w:eastAsia="Times New Roman" w:hAnsi="Aptos" w:cs="Arial"/>
          <w:i/>
          <w:highlight w:val="yellow"/>
        </w:rPr>
      </w:pPr>
      <w:r w:rsidRPr="00B531E4">
        <w:rPr>
          <w:rFonts w:ascii="Aptos" w:eastAsia="Times New Roman" w:hAnsi="Aptos" w:cs="Arial"/>
          <w:i/>
          <w:highlight w:val="yellow"/>
        </w:rPr>
        <w:t xml:space="preserve">GASB Statement No. 104, Disclosure of Certain Capital Assets </w:t>
      </w:r>
    </w:p>
    <w:p w14:paraId="41974742" w14:textId="77777777" w:rsidR="004972FA" w:rsidRPr="00B531E4" w:rsidRDefault="004972FA" w:rsidP="004972FA">
      <w:pPr>
        <w:spacing w:after="240" w:line="240" w:lineRule="auto"/>
        <w:jc w:val="both"/>
        <w:rPr>
          <w:rFonts w:ascii="Aptos" w:eastAsia="Times New Roman" w:hAnsi="Aptos" w:cs="Arial"/>
          <w:highlight w:val="yellow"/>
        </w:rPr>
      </w:pPr>
      <w:r w:rsidRPr="00B531E4">
        <w:rPr>
          <w:rFonts w:ascii="Aptos" w:eastAsia="Times New Roman" w:hAnsi="Aptos" w:cs="Arial"/>
          <w:highlight w:val="yellow"/>
        </w:rPr>
        <w:t>GASB Statement No. 103 improves key components of the financial reporting model to enhance its effectiveness in providing information that is essential for decision making and assessing accountability. The main areas that are impacted include: (1) Management’s Discussion and Analysis; (2) Unusual or Infrequent Items; (3) Presentation of the Proprietary Fund Statement of Revenues, Expenses, and Changes in Fund Net Position; (4) Major Component Unit Information; and (5) Budgetary Comparison Information.</w:t>
      </w:r>
      <w:r w:rsidRPr="00B531E4">
        <w:rPr>
          <w:rFonts w:ascii="Aptos" w:eastAsia="Times New Roman" w:hAnsi="Aptos" w:cs="Arial"/>
          <w:b/>
          <w:bCs/>
          <w:i/>
          <w:iCs/>
          <w:color w:val="0000FF"/>
          <w:highlight w:val="yellow"/>
        </w:rPr>
        <w:t xml:space="preserve"> [Revise as needed.]</w:t>
      </w:r>
    </w:p>
    <w:p w14:paraId="63958AFD" w14:textId="77777777" w:rsidR="004972FA" w:rsidRPr="008C0F4D" w:rsidRDefault="004972FA" w:rsidP="004972FA">
      <w:pPr>
        <w:spacing w:after="240" w:line="240" w:lineRule="auto"/>
        <w:jc w:val="both"/>
        <w:rPr>
          <w:rFonts w:ascii="Aptos" w:eastAsia="Times New Roman" w:hAnsi="Aptos" w:cs="Arial"/>
        </w:rPr>
      </w:pPr>
      <w:r w:rsidRPr="00B531E4">
        <w:rPr>
          <w:rFonts w:ascii="Aptos" w:eastAsia="Times New Roman" w:hAnsi="Aptos" w:cs="Arial"/>
          <w:highlight w:val="yellow"/>
        </w:rPr>
        <w:t>GASB Statement No. 104 provides users of government financial statements with essential information about certain types of capital assets. This Statement requires certain types of capital assets to be disclosed separately in the capital assets note disclosures required by Statement No. 34,</w:t>
      </w:r>
      <w:r w:rsidRPr="00B531E4">
        <w:rPr>
          <w:rFonts w:ascii="Aptos" w:eastAsia="Times New Roman" w:hAnsi="Aptos" w:cs="Arial"/>
          <w:i/>
          <w:iCs/>
          <w:highlight w:val="yellow"/>
        </w:rPr>
        <w:t xml:space="preserve"> Basic Financial Statements – and Management’s Discussion and Analysis – For State and Local Governments</w:t>
      </w:r>
      <w:r w:rsidRPr="00B531E4">
        <w:rPr>
          <w:rFonts w:ascii="Aptos" w:eastAsia="Times New Roman" w:hAnsi="Aptos" w:cs="Arial"/>
          <w:highlight w:val="yellow"/>
        </w:rPr>
        <w:t>. Additional disclosures are required for capital assets held for sale.</w:t>
      </w:r>
      <w:r w:rsidRPr="00B531E4">
        <w:rPr>
          <w:rFonts w:ascii="Aptos" w:eastAsia="Times New Roman" w:hAnsi="Aptos" w:cs="Arial"/>
          <w:b/>
          <w:bCs/>
          <w:i/>
          <w:iCs/>
          <w:color w:val="0000FF"/>
          <w:highlight w:val="yellow"/>
        </w:rPr>
        <w:t xml:space="preserve"> [Revise as needed.]</w:t>
      </w:r>
    </w:p>
    <w:p w14:paraId="3BCE7CAF" w14:textId="71C7EE4C" w:rsidR="007F7080" w:rsidRPr="00F346C5" w:rsidRDefault="007F7080"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r w:rsidRPr="00F346C5">
        <w:rPr>
          <w:rFonts w:ascii="Aptos" w:eastAsia="Times New Roman" w:hAnsi="Aptos" w:cs="Times New Roman"/>
          <w:b/>
          <w:kern w:val="28"/>
        </w:rPr>
        <w:t>Note 22</w:t>
      </w:r>
      <w:r w:rsidRPr="00F346C5">
        <w:rPr>
          <w:rFonts w:ascii="Aptos" w:eastAsia="Times New Roman" w:hAnsi="Aptos" w:cs="Times New Roman"/>
          <w:b/>
          <w:kern w:val="28"/>
        </w:rPr>
        <w:tab/>
        <w:t>-</w:t>
      </w:r>
      <w:r w:rsidRPr="00F346C5">
        <w:rPr>
          <w:rFonts w:ascii="Aptos" w:eastAsia="Times New Roman" w:hAnsi="Aptos" w:cs="Times New Roman"/>
          <w:b/>
          <w:kern w:val="28"/>
        </w:rPr>
        <w:tab/>
        <w:t>Net Position Restatement(s)</w:t>
      </w:r>
    </w:p>
    <w:p w14:paraId="7659DF99" w14:textId="7BE9C263" w:rsidR="009D62EA" w:rsidRPr="00F346C5" w:rsidRDefault="009D62EA" w:rsidP="009D62EA">
      <w:pPr>
        <w:spacing w:after="240" w:line="240" w:lineRule="auto"/>
        <w:jc w:val="both"/>
        <w:rPr>
          <w:rFonts w:ascii="Aptos" w:eastAsia="Times New Roman" w:hAnsi="Aptos" w:cs="Arial"/>
          <w:b/>
          <w:bCs/>
          <w:i/>
          <w:iCs/>
        </w:rPr>
      </w:pPr>
      <w:r w:rsidRPr="00F346C5">
        <w:rPr>
          <w:rFonts w:ascii="Aptos" w:eastAsia="Times New Roman" w:hAnsi="Aptos" w:cs="Arial"/>
        </w:rPr>
        <w:t xml:space="preserve">As of </w:t>
      </w:r>
      <w:r w:rsidR="00D001EB" w:rsidRPr="00F346C5">
        <w:rPr>
          <w:rFonts w:ascii="Aptos" w:eastAsia="Times New Roman" w:hAnsi="Aptos" w:cs="Arial"/>
        </w:rPr>
        <w:t xml:space="preserve">July 1, </w:t>
      </w:r>
      <w:r w:rsidR="004972FA" w:rsidRPr="0019002A">
        <w:rPr>
          <w:rFonts w:ascii="Aptos" w:eastAsia="Times New Roman" w:hAnsi="Aptos" w:cs="Arial"/>
        </w:rPr>
        <w:t>2025</w:t>
      </w:r>
      <w:r w:rsidRPr="00F346C5">
        <w:rPr>
          <w:rFonts w:ascii="Aptos" w:eastAsia="Times New Roman" w:hAnsi="Aptos" w:cs="Arial"/>
        </w:rPr>
        <w:t xml:space="preserve">, </w:t>
      </w:r>
      <w:r w:rsidR="007F7080" w:rsidRPr="00F346C5">
        <w:rPr>
          <w:rFonts w:ascii="Aptos" w:eastAsia="Times New Roman" w:hAnsi="Aptos"/>
        </w:rPr>
        <w:t xml:space="preserve">net position as previously reported was restated as follows: </w:t>
      </w:r>
      <w:r w:rsidR="007F7080" w:rsidRPr="00F346C5">
        <w:rPr>
          <w:rFonts w:ascii="Aptos" w:eastAsia="Times New Roman" w:hAnsi="Aptos"/>
          <w:b/>
          <w:bCs/>
          <w:i/>
          <w:iCs/>
          <w:color w:val="0000FF"/>
        </w:rPr>
        <w:t>[Update table below with nature and description of the restatement (e.g., correct prior year accounting error). See GASB 100 paragraphs 14 through 30 for reporting requirements depending on the nature of the restatement. Modify as necessary.]</w:t>
      </w:r>
    </w:p>
    <w:bookmarkStart w:id="429" w:name="_1220949802"/>
    <w:bookmarkStart w:id="430" w:name="_MON_1243077354"/>
    <w:bookmarkStart w:id="431" w:name="_1244291855"/>
    <w:bookmarkStart w:id="432" w:name="_MON_1264506365"/>
    <w:bookmarkStart w:id="433" w:name="_MON_1188278912"/>
    <w:bookmarkStart w:id="434" w:name="_MON_1401869933"/>
    <w:bookmarkStart w:id="435" w:name="_MON_1402726871"/>
    <w:bookmarkStart w:id="436" w:name="_MON_1118970655"/>
    <w:bookmarkStart w:id="437" w:name="_MON_1119002125"/>
    <w:bookmarkStart w:id="438" w:name="_MON_1119092012"/>
    <w:bookmarkStart w:id="439" w:name="_MON_1121239096"/>
    <w:bookmarkStart w:id="440" w:name="_MON_1359289174"/>
    <w:bookmarkStart w:id="441" w:name="_Hlk199505451"/>
    <w:bookmarkEnd w:id="429"/>
    <w:bookmarkEnd w:id="430"/>
    <w:bookmarkEnd w:id="431"/>
    <w:bookmarkEnd w:id="432"/>
    <w:bookmarkEnd w:id="433"/>
    <w:bookmarkEnd w:id="434"/>
    <w:bookmarkEnd w:id="435"/>
    <w:bookmarkEnd w:id="436"/>
    <w:bookmarkEnd w:id="437"/>
    <w:bookmarkEnd w:id="438"/>
    <w:bookmarkEnd w:id="439"/>
    <w:bookmarkEnd w:id="440"/>
    <w:bookmarkStart w:id="442" w:name="_MON_1211811862"/>
    <w:bookmarkEnd w:id="442"/>
    <w:p w14:paraId="70E3D535" w14:textId="48EFB6FC" w:rsidR="009D62EA" w:rsidRPr="00F346C5" w:rsidRDefault="006B3413" w:rsidP="009D62EA">
      <w:pPr>
        <w:spacing w:after="240" w:line="240" w:lineRule="auto"/>
        <w:jc w:val="center"/>
        <w:rPr>
          <w:rFonts w:ascii="Aptos" w:hAnsi="Aptos"/>
        </w:rPr>
      </w:pPr>
      <w:r w:rsidRPr="00F346C5">
        <w:rPr>
          <w:rFonts w:ascii="Aptos" w:hAnsi="Aptos"/>
        </w:rPr>
        <w:object w:dxaOrig="7792" w:dyaOrig="1828" w14:anchorId="6265869A">
          <v:shape id="_x0000_i1064" type="#_x0000_t75" style="width:390pt;height:92.25pt" o:ole="">
            <v:imagedata r:id="rId105" o:title=""/>
          </v:shape>
          <o:OLEObject Type="Embed" ProgID="Excel.Sheet.12" ShapeID="_x0000_i1064" DrawAspect="Content" ObjectID="_1843297367" r:id="rId106"/>
        </w:object>
      </w:r>
      <w:bookmarkEnd w:id="441"/>
    </w:p>
    <w:p w14:paraId="30FEF6BF" w14:textId="77777777" w:rsidR="009D62EA" w:rsidRPr="00F346C5" w:rsidRDefault="009D62EA" w:rsidP="00893C66">
      <w:pPr>
        <w:keepNext/>
        <w:pBdr>
          <w:top w:val="single" w:sz="6" w:space="3" w:color="auto"/>
          <w:bottom w:val="single" w:sz="6" w:space="3" w:color="auto"/>
        </w:pBdr>
        <w:tabs>
          <w:tab w:val="left" w:pos="900"/>
          <w:tab w:val="left" w:pos="1080"/>
        </w:tabs>
        <w:spacing w:after="240" w:line="240" w:lineRule="auto"/>
        <w:outlineLvl w:val="0"/>
        <w:rPr>
          <w:rFonts w:ascii="Aptos" w:eastAsia="Times New Roman" w:hAnsi="Aptos" w:cs="Times New Roman"/>
          <w:b/>
          <w:kern w:val="28"/>
        </w:rPr>
      </w:pPr>
      <w:r w:rsidRPr="00F346C5">
        <w:rPr>
          <w:rFonts w:ascii="Aptos" w:eastAsia="Times New Roman" w:hAnsi="Aptos" w:cs="Times New Roman"/>
          <w:b/>
          <w:kern w:val="28"/>
        </w:rPr>
        <w:lastRenderedPageBreak/>
        <w:t>Note 23</w:t>
      </w:r>
      <w:r w:rsidRPr="00F346C5">
        <w:rPr>
          <w:rFonts w:ascii="Aptos" w:eastAsia="Times New Roman" w:hAnsi="Aptos" w:cs="Times New Roman"/>
          <w:b/>
          <w:kern w:val="28"/>
        </w:rPr>
        <w:tab/>
        <w:t>-</w:t>
      </w:r>
      <w:r w:rsidRPr="00F346C5">
        <w:rPr>
          <w:rFonts w:ascii="Aptos" w:eastAsia="Times New Roman" w:hAnsi="Aptos" w:cs="Times New Roman"/>
          <w:b/>
          <w:kern w:val="28"/>
        </w:rPr>
        <w:tab/>
        <w:t>Subsequent Event(s)</w:t>
      </w:r>
    </w:p>
    <w:p w14:paraId="404CC3F8" w14:textId="77777777" w:rsidR="009D62EA" w:rsidRPr="00F346C5" w:rsidRDefault="009D62EA" w:rsidP="009D62EA">
      <w:pPr>
        <w:spacing w:after="0" w:line="240" w:lineRule="auto"/>
        <w:jc w:val="both"/>
        <w:rPr>
          <w:rFonts w:ascii="Aptos" w:eastAsia="Times New Roman" w:hAnsi="Aptos" w:cs="Times New Roman"/>
        </w:rPr>
      </w:pPr>
      <w:r w:rsidRPr="00F346C5">
        <w:rPr>
          <w:rFonts w:ascii="Aptos" w:eastAsia="Times New Roman" w:hAnsi="Aptos" w:cs="Arial"/>
          <w:b/>
          <w:i/>
          <w:color w:val="0000FF"/>
        </w:rPr>
        <w:t>[Describe significant events subsequent to the Statement of Net Position date through the report date.</w:t>
      </w:r>
    </w:p>
    <w:p w14:paraId="40267B2C" w14:textId="77777777" w:rsidR="008610DC" w:rsidRPr="00F346C5" w:rsidRDefault="008610DC" w:rsidP="008610DC">
      <w:pPr>
        <w:spacing w:after="0" w:line="240" w:lineRule="auto"/>
        <w:rPr>
          <w:rFonts w:ascii="Aptos" w:eastAsia="Times New Roman" w:hAnsi="Aptos" w:cs="Arial"/>
        </w:rPr>
      </w:pPr>
    </w:p>
    <w:p w14:paraId="40267B2D" w14:textId="77777777" w:rsidR="00841121" w:rsidRPr="00F346C5" w:rsidRDefault="00841121" w:rsidP="008610DC">
      <w:pPr>
        <w:spacing w:after="0" w:line="240" w:lineRule="auto"/>
        <w:rPr>
          <w:rFonts w:ascii="Aptos" w:eastAsia="Times New Roman" w:hAnsi="Aptos" w:cs="Arial"/>
        </w:rPr>
      </w:pPr>
    </w:p>
    <w:p w14:paraId="40267B2E" w14:textId="77777777" w:rsidR="008610DC" w:rsidRDefault="008610DC" w:rsidP="008610DC">
      <w:pPr>
        <w:spacing w:after="0" w:line="240" w:lineRule="auto"/>
        <w:jc w:val="both"/>
        <w:rPr>
          <w:rFonts w:ascii="Arial" w:eastAsia="Times New Roman" w:hAnsi="Arial" w:cs="Arial"/>
          <w:b/>
        </w:rPr>
        <w:sectPr w:rsidR="008610DC" w:rsidSect="002401FC">
          <w:headerReference w:type="even" r:id="rId107"/>
          <w:headerReference w:type="default" r:id="rId108"/>
          <w:headerReference w:type="first" r:id="rId109"/>
          <w:pgSz w:w="12240" w:h="15840" w:code="1"/>
          <w:pgMar w:top="1440" w:right="1584" w:bottom="1440" w:left="1584" w:header="864" w:footer="720" w:gutter="0"/>
          <w:cols w:space="720"/>
          <w:docGrid w:linePitch="360"/>
        </w:sectPr>
      </w:pPr>
    </w:p>
    <w:p w14:paraId="40267B2F" w14:textId="77777777" w:rsidR="008610DC" w:rsidRPr="008610DC" w:rsidRDefault="008610DC" w:rsidP="008610DC">
      <w:pPr>
        <w:spacing w:before="2040" w:after="0" w:line="240" w:lineRule="auto"/>
        <w:jc w:val="center"/>
        <w:rPr>
          <w:rFonts w:ascii="Times New Roman" w:eastAsia="Times New Roman" w:hAnsi="Times New Roman" w:cs="Times New Roman"/>
          <w:noProof/>
          <w:sz w:val="24"/>
          <w:szCs w:val="20"/>
        </w:rPr>
      </w:pPr>
      <w:r w:rsidRPr="008610DC">
        <w:rPr>
          <w:rFonts w:ascii="Times New Roman" w:eastAsia="Times New Roman" w:hAnsi="Times New Roman" w:cs="Times New Roman"/>
          <w:noProof/>
          <w:sz w:val="24"/>
          <w:szCs w:val="20"/>
        </w:rPr>
        <w:lastRenderedPageBreak/>
        <w:drawing>
          <wp:inline distT="0" distB="0" distL="0" distR="0" wp14:anchorId="40267BBA" wp14:editId="2458AF1F">
            <wp:extent cx="1200150" cy="1200150"/>
            <wp:effectExtent l="0" t="0" r="0" b="0"/>
            <wp:docPr id="3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99"/>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200150" cy="1200150"/>
                    </a:xfrm>
                    <a:prstGeom prst="rect">
                      <a:avLst/>
                    </a:prstGeom>
                  </pic:spPr>
                </pic:pic>
              </a:graphicData>
            </a:graphic>
          </wp:inline>
        </w:drawing>
      </w:r>
    </w:p>
    <w:p w14:paraId="40267B30" w14:textId="77777777" w:rsidR="008610DC" w:rsidRPr="008610DC" w:rsidRDefault="008610DC" w:rsidP="008610DC">
      <w:pPr>
        <w:spacing w:after="0" w:line="240" w:lineRule="auto"/>
        <w:jc w:val="center"/>
        <w:rPr>
          <w:rFonts w:ascii="Arial Bold" w:eastAsia="Times New Roman" w:hAnsi="Arial Bold" w:cs="Times New Roman"/>
          <w:smallCaps/>
          <w:sz w:val="96"/>
          <w:szCs w:val="96"/>
        </w:rPr>
      </w:pPr>
    </w:p>
    <w:p w14:paraId="40267B31" w14:textId="77777777" w:rsidR="008610DC" w:rsidRPr="00EA1FCD" w:rsidRDefault="008610DC" w:rsidP="00EA1FCD">
      <w:pPr>
        <w:pStyle w:val="OSATitleStyle1"/>
      </w:pPr>
      <w:r w:rsidRPr="00EA1FCD">
        <w:t>Required</w:t>
      </w:r>
      <w:r w:rsidRPr="00EA1FCD">
        <w:br/>
        <w:t>Supplementary</w:t>
      </w:r>
      <w:r w:rsidRPr="00EA1FCD">
        <w:br/>
        <w:t>Information</w:t>
      </w:r>
    </w:p>
    <w:p w14:paraId="40267B32" w14:textId="77777777" w:rsidR="008610DC" w:rsidRDefault="008610DC" w:rsidP="008610DC">
      <w:pPr>
        <w:spacing w:after="0" w:line="240" w:lineRule="auto"/>
        <w:jc w:val="center"/>
        <w:rPr>
          <w:rFonts w:ascii="Arial" w:eastAsia="Times New Roman" w:hAnsi="Arial" w:cs="Arial"/>
          <w:b/>
          <w:smallCaps/>
          <w:sz w:val="96"/>
          <w:szCs w:val="96"/>
        </w:rPr>
        <w:sectPr w:rsidR="008610DC" w:rsidSect="00F34E2E">
          <w:headerReference w:type="even" r:id="rId110"/>
          <w:headerReference w:type="default" r:id="rId111"/>
          <w:pgSz w:w="12240" w:h="15840" w:code="1"/>
          <w:pgMar w:top="1440" w:right="1584" w:bottom="1440" w:left="1584" w:header="864" w:footer="720"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pPr>
    </w:p>
    <w:p w14:paraId="40267B7C" w14:textId="73997C04" w:rsidR="0041233C" w:rsidRPr="0041233C" w:rsidRDefault="008610DC" w:rsidP="0019002A">
      <w:pPr>
        <w:spacing w:after="0" w:line="240" w:lineRule="auto"/>
        <w:jc w:val="center"/>
        <w:rPr>
          <w:rFonts w:ascii="Univers (W1)" w:eastAsia="Times New Roman" w:hAnsi="Univers (W1)" w:cs="Times New Roman"/>
          <w:sz w:val="20"/>
          <w:szCs w:val="20"/>
        </w:rPr>
      </w:pPr>
      <w:r w:rsidRPr="00EA1FCD">
        <w:rPr>
          <w:rFonts w:ascii="Trebuchet MS" w:hAnsi="Trebuchet MS" w:cs="Arial"/>
          <w:sz w:val="96"/>
          <w:szCs w:val="96"/>
        </w:rPr>
        <w:lastRenderedPageBreak/>
        <w:t>Insert Required Supplementary Information Here</w:t>
      </w:r>
    </w:p>
    <w:sectPr w:rsidR="0041233C" w:rsidRPr="0041233C" w:rsidSect="00F34E2E">
      <w:headerReference w:type="even" r:id="rId112"/>
      <w:headerReference w:type="default" r:id="rId113"/>
      <w:footerReference w:type="even" r:id="rId114"/>
      <w:footerReference w:type="default" r:id="rId115"/>
      <w:headerReference w:type="first" r:id="rId116"/>
      <w:footerReference w:type="first" r:id="rId117"/>
      <w:footnotePr>
        <w:numRestart w:val="eachSect"/>
      </w:footnotePr>
      <w:pgSz w:w="12240" w:h="15840" w:code="1"/>
      <w:pgMar w:top="1440" w:right="1584" w:bottom="1440" w:left="1584" w:header="864" w:footer="720" w:gutter="0"/>
      <w:pgNumType w:start="1"/>
      <w:cols w:space="720"/>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David Ehricht" w:date="2026-06-16T11:49:00Z" w:initials="DE">
    <w:p w14:paraId="67D66091" w14:textId="77777777" w:rsidR="0019002A" w:rsidRDefault="0019002A" w:rsidP="0019002A">
      <w:pPr>
        <w:pStyle w:val="CommentText"/>
      </w:pPr>
      <w:r>
        <w:rPr>
          <w:rStyle w:val="CommentReference"/>
        </w:rPr>
        <w:annotationRef/>
      </w:r>
      <w:r>
        <w:t>Pending number later in the summer.</w:t>
      </w:r>
    </w:p>
  </w:comment>
  <w:comment w:id="12" w:author="David Ehricht" w:date="2026-06-16T11:51:00Z" w:initials="DE">
    <w:p w14:paraId="1EC105BC" w14:textId="77777777" w:rsidR="0019002A" w:rsidRDefault="0019002A" w:rsidP="0019002A">
      <w:pPr>
        <w:pStyle w:val="CommentText"/>
      </w:pPr>
      <w:r>
        <w:rPr>
          <w:rStyle w:val="CommentReference"/>
        </w:rPr>
        <w:annotationRef/>
      </w:r>
      <w:r>
        <w:t>Number to be provided later in the summer.</w:t>
      </w:r>
    </w:p>
  </w:comment>
  <w:comment w:id="13" w:author="David Ehricht" w:date="2026-06-16T11:52:00Z" w:initials="DE">
    <w:p w14:paraId="475A1E81" w14:textId="77777777" w:rsidR="0019002A" w:rsidRDefault="0019002A" w:rsidP="0019002A">
      <w:pPr>
        <w:pStyle w:val="CommentText"/>
      </w:pPr>
      <w:r>
        <w:rPr>
          <w:rStyle w:val="CommentReference"/>
        </w:rPr>
        <w:annotationRef/>
      </w:r>
      <w:r>
        <w:t>Number to be provided later in the summer.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7D66091" w15:done="0"/>
  <w15:commentEx w15:paraId="1EC105BC" w15:done="0"/>
  <w15:commentEx w15:paraId="475A1E8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D4B5796" w16cex:dateUtc="2026-06-16T15:49:00Z"/>
  <w16cex:commentExtensible w16cex:durableId="6CC46CE7" w16cex:dateUtc="2026-06-16T15:51:00Z"/>
  <w16cex:commentExtensible w16cex:durableId="71558F85" w16cex:dateUtc="2026-06-16T15: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D66091" w16cid:durableId="4D4B5796"/>
  <w16cid:commentId w16cid:paraId="1EC105BC" w16cid:durableId="6CC46CE7"/>
  <w16cid:commentId w16cid:paraId="475A1E81" w16cid:durableId="71558F8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9AB8E" w14:textId="77777777" w:rsidR="00262BAE" w:rsidRDefault="00262BAE" w:rsidP="00760778">
      <w:pPr>
        <w:spacing w:after="0" w:line="240" w:lineRule="auto"/>
      </w:pPr>
      <w:r>
        <w:separator/>
      </w:r>
    </w:p>
  </w:endnote>
  <w:endnote w:type="continuationSeparator" w:id="0">
    <w:p w14:paraId="6B2F6744" w14:textId="77777777" w:rsidR="00262BAE" w:rsidRDefault="00262BAE" w:rsidP="00760778">
      <w:pPr>
        <w:spacing w:after="0" w:line="240" w:lineRule="auto"/>
      </w:pPr>
      <w:r>
        <w:continuationSeparator/>
      </w:r>
    </w:p>
  </w:endnote>
  <w:endnote w:type="continuationNotice" w:id="1">
    <w:p w14:paraId="63EDA5CD" w14:textId="77777777" w:rsidR="00262BAE" w:rsidRDefault="00262B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w:altName w:val="Bookman Old Style"/>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Paraguay">
    <w:altName w:val="Calibri"/>
    <w:charset w:val="00"/>
    <w:family w:val="auto"/>
    <w:pitch w:val="variable"/>
    <w:sig w:usb0="00000001" w:usb1="00000000" w:usb2="00000000" w:usb3="00000000" w:csb0="00000013" w:csb1="00000000"/>
  </w:font>
  <w:font w:name="Old English Text MT">
    <w:panose1 w:val="03040902040508030806"/>
    <w:charset w:val="00"/>
    <w:family w:val="script"/>
    <w:pitch w:val="variable"/>
    <w:sig w:usb0="00000003" w:usb1="00000000" w:usb2="00000000" w:usb3="00000000" w:csb0="00000001" w:csb1="00000000"/>
  </w:font>
  <w:font w:name="Black Chancery">
    <w:altName w:val="Calibri"/>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2049B" w14:textId="619C215B" w:rsidR="000E123D" w:rsidRPr="000E123D" w:rsidRDefault="000E123D" w:rsidP="000E12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7C1F" w14:textId="77777777" w:rsidR="002F4326" w:rsidRPr="00FD484C" w:rsidRDefault="002F4326" w:rsidP="002F43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7C20" w14:textId="77777777" w:rsidR="002F4326" w:rsidRPr="00CA5325" w:rsidRDefault="0041233C" w:rsidP="002F4326">
    <w:pPr>
      <w:pStyle w:val="PARAFLUSHUNDER1"/>
      <w:pBdr>
        <w:top w:val="single" w:sz="4" w:space="1" w:color="auto"/>
      </w:pBdr>
      <w:ind w:left="0"/>
      <w:rPr>
        <w:rStyle w:val="PageNumber"/>
        <w:rFonts w:ascii="Arial Narrow" w:hAnsi="Arial Narrow"/>
        <w:sz w:val="20"/>
      </w:rPr>
    </w:pPr>
    <w:r w:rsidRPr="00CA5325">
      <w:rPr>
        <w:rFonts w:ascii="Arial Narrow" w:hAnsi="Arial Narrow"/>
        <w:sz w:val="20"/>
      </w:rPr>
      <w:t>This a</w:t>
    </w:r>
    <w:r w:rsidRPr="00874CE3">
      <w:rPr>
        <w:rFonts w:ascii="Arial Narrow" w:hAnsi="Arial Narrow"/>
        <w:sz w:val="20"/>
      </w:rPr>
      <w:t>udit required 2,705 audit hours at an approximate cost of $267,795.</w:t>
    </w:r>
  </w:p>
  <w:p w14:paraId="40267C21" w14:textId="77777777" w:rsidR="002F4326" w:rsidRPr="00662DEA" w:rsidRDefault="0041233C" w:rsidP="002F4326">
    <w:pPr>
      <w:pStyle w:val="BodyText2"/>
      <w:ind w:left="0"/>
      <w:jc w:val="center"/>
      <w:rPr>
        <w:rFonts w:ascii="Arial" w:hAnsi="Arial" w:cs="Arial"/>
        <w:sz w:val="24"/>
      </w:rPr>
    </w:pPr>
    <w:r w:rsidRPr="00662DEA">
      <w:rPr>
        <w:rFonts w:ascii="Arial" w:hAnsi="Arial" w:cs="Arial"/>
      </w:rPr>
      <w:fldChar w:fldCharType="begin"/>
    </w:r>
    <w:r w:rsidRPr="00662DEA">
      <w:rPr>
        <w:rFonts w:ascii="Arial" w:hAnsi="Arial" w:cs="Arial"/>
      </w:rPr>
      <w:instrText xml:space="preserve"> PAGE  \* Arabic  \* MERGEFORMAT </w:instrText>
    </w:r>
    <w:r w:rsidRPr="00662DEA">
      <w:rPr>
        <w:rFonts w:ascii="Arial" w:hAnsi="Arial" w:cs="Arial"/>
      </w:rPr>
      <w:fldChar w:fldCharType="separate"/>
    </w:r>
    <w:r>
      <w:rPr>
        <w:rFonts w:ascii="Arial" w:hAnsi="Arial" w:cs="Arial"/>
        <w:noProof/>
      </w:rPr>
      <w:t>1</w:t>
    </w:r>
    <w:r w:rsidRPr="00662DEA">
      <w:rPr>
        <w:rFonts w:ascii="Arial" w:hAnsi="Arial"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7C24" w14:textId="5A21E10A" w:rsidR="002F4326" w:rsidRPr="0019002A" w:rsidRDefault="002F4326" w:rsidP="00190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5CD16" w14:textId="77777777" w:rsidR="00262BAE" w:rsidRDefault="00262BAE" w:rsidP="00760778">
      <w:pPr>
        <w:spacing w:after="0" w:line="240" w:lineRule="auto"/>
      </w:pPr>
      <w:r>
        <w:separator/>
      </w:r>
    </w:p>
  </w:footnote>
  <w:footnote w:type="continuationSeparator" w:id="0">
    <w:p w14:paraId="0FF6C3C2" w14:textId="77777777" w:rsidR="00262BAE" w:rsidRDefault="00262BAE" w:rsidP="00760778">
      <w:pPr>
        <w:spacing w:after="0" w:line="240" w:lineRule="auto"/>
      </w:pPr>
      <w:r>
        <w:continuationSeparator/>
      </w:r>
    </w:p>
  </w:footnote>
  <w:footnote w:type="continuationNotice" w:id="1">
    <w:p w14:paraId="60468ED4" w14:textId="77777777" w:rsidR="00262BAE" w:rsidRDefault="00262B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23B24" w14:textId="2464C6C9" w:rsidR="0066558E" w:rsidRDefault="00F86ACA">
    <w:pPr>
      <w:pStyle w:val="Header"/>
    </w:pPr>
    <w:r>
      <w:rPr>
        <w:noProof/>
      </w:rPr>
      <mc:AlternateContent>
        <mc:Choice Requires="wps">
          <w:drawing>
            <wp:anchor distT="0" distB="0" distL="114300" distR="114300" simplePos="0" relativeHeight="251658247" behindDoc="0" locked="0" layoutInCell="1" allowOverlap="1" wp14:anchorId="492AC704" wp14:editId="0921AE90">
              <wp:simplePos x="0" y="0"/>
              <wp:positionH relativeFrom="page">
                <wp:posOffset>0</wp:posOffset>
              </wp:positionH>
              <wp:positionV relativeFrom="page">
                <wp:posOffset>365760</wp:posOffset>
              </wp:positionV>
              <wp:extent cx="7811769" cy="338454"/>
              <wp:effectExtent l="0" t="0" r="0" b="508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1769" cy="338454"/>
                      </a:xfrm>
                      <a:prstGeom prst="rect">
                        <a:avLst/>
                      </a:prstGeom>
                      <a:solidFill>
                        <a:srgbClr val="002957"/>
                      </a:solidFill>
                      <a:ln w="9525">
                        <a:noFill/>
                        <a:miter lim="800000"/>
                        <a:headEnd/>
                        <a:tailEnd/>
                      </a:ln>
                    </wps:spPr>
                    <wps:txbx>
                      <w:txbxContent>
                        <w:p w14:paraId="5F38F86D" w14:textId="77777777" w:rsidR="00F86ACA" w:rsidRPr="00B935FB" w:rsidRDefault="00F86ACA" w:rsidP="00D21499">
                          <w:pPr>
                            <w:spacing w:before="60"/>
                            <w:ind w:left="547" w:right="475"/>
                            <w:jc w:val="right"/>
                            <w:rPr>
                              <w:rFonts w:ascii="Trebuchet MS" w:hAnsi="Trebuchet MS" w:cs="Arial"/>
                              <w:b/>
                              <w:sz w:val="24"/>
                              <w:szCs w:val="24"/>
                            </w:rPr>
                          </w:pPr>
                          <w:r w:rsidRPr="00B935FB">
                            <w:rPr>
                              <w:rFonts w:ascii="Trebuchet MS" w:hAnsi="Trebuchet MS" w:cs="Arial"/>
                              <w:b/>
                              <w:sz w:val="24"/>
                              <w:szCs w:val="24"/>
                            </w:rPr>
                            <w:t>Management’s Discussion and Analysis</w:t>
                          </w:r>
                        </w:p>
                        <w:p w14:paraId="279F469D" w14:textId="77777777" w:rsidR="00F86ACA" w:rsidRDefault="00F86ACA" w:rsidP="002F43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2AC704" id="_x0000_t202" coordsize="21600,21600" o:spt="202" path="m,l,21600r21600,l21600,xe">
              <v:stroke joinstyle="miter"/>
              <v:path gradientshapeok="t" o:connecttype="rect"/>
            </v:shapetype>
            <v:shape id="Text Box 17" o:spid="_x0000_s1026" type="#_x0000_t202" style="position:absolute;margin-left:0;margin-top:28.8pt;width:615.1pt;height:26.6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" fillcolor="#002957" stroked="f">
              <v:textbox>
                <w:txbxContent>
                  <w:p w14:paraId="5F38F86D" w14:textId="77777777" w:rsidR="00F86ACA" w:rsidRPr="00B935FB" w:rsidRDefault="00F86ACA" w:rsidP="00D21499">
                    <w:pPr>
                      <w:spacing w:before="60"/>
                      <w:ind w:left="547" w:right="475"/>
                      <w:jc w:val="right"/>
                      <w:rPr>
                        <w:rFonts w:ascii="Trebuchet MS" w:hAnsi="Trebuchet MS" w:cs="Arial"/>
                        <w:b/>
                        <w:sz w:val="24"/>
                        <w:szCs w:val="24"/>
                      </w:rPr>
                    </w:pPr>
                    <w:r w:rsidRPr="00B935FB">
                      <w:rPr>
                        <w:rFonts w:ascii="Trebuchet MS" w:hAnsi="Trebuchet MS" w:cs="Arial"/>
                        <w:b/>
                        <w:sz w:val="24"/>
                        <w:szCs w:val="24"/>
                      </w:rPr>
                      <w:t>Management’s Discussion and Analysis</w:t>
                    </w:r>
                  </w:p>
                  <w:p w14:paraId="279F469D" w14:textId="77777777" w:rsidR="00F86ACA" w:rsidRDefault="00F86ACA" w:rsidP="002F4326"/>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7C1E" w14:textId="77777777" w:rsidR="002F4326" w:rsidRPr="00061A39" w:rsidRDefault="002F4326" w:rsidP="002F432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7C22" w14:textId="77777777" w:rsidR="002F4326" w:rsidRDefault="002F43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7C06" w14:textId="77777777" w:rsidR="0041233C" w:rsidRDefault="0041233C">
    <w:pPr>
      <w:pStyle w:val="Header"/>
    </w:pPr>
    <w:r w:rsidRPr="0041233C">
      <w:rPr>
        <w:rFonts w:ascii="Univers (W1)" w:eastAsia="Times New Roman" w:hAnsi="Univers (W1)" w:cs="Times New Roman"/>
        <w:noProof/>
        <w:sz w:val="20"/>
        <w:szCs w:val="20"/>
      </w:rPr>
      <mc:AlternateContent>
        <mc:Choice Requires="wps">
          <w:drawing>
            <wp:anchor distT="0" distB="0" distL="114300" distR="114300" simplePos="0" relativeHeight="251658242" behindDoc="0" locked="0" layoutInCell="1" allowOverlap="1" wp14:anchorId="40267C3D" wp14:editId="21895AC0">
              <wp:simplePos x="0" y="0"/>
              <wp:positionH relativeFrom="page">
                <wp:posOffset>0</wp:posOffset>
              </wp:positionH>
              <wp:positionV relativeFrom="page">
                <wp:posOffset>365760</wp:posOffset>
              </wp:positionV>
              <wp:extent cx="7863840" cy="338328"/>
              <wp:effectExtent l="0" t="0" r="22860" b="2413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3840" cy="338328"/>
                      </a:xfrm>
                      <a:prstGeom prst="rect">
                        <a:avLst/>
                      </a:prstGeom>
                      <a:solidFill>
                        <a:srgbClr val="0F243E"/>
                      </a:solidFill>
                      <a:ln w="9525">
                        <a:solidFill>
                          <a:srgbClr val="000000"/>
                        </a:solidFill>
                        <a:miter lim="800000"/>
                        <a:headEnd/>
                        <a:tailEnd/>
                      </a:ln>
                    </wps:spPr>
                    <wps:txbx>
                      <w:txbxContent>
                        <w:p w14:paraId="40267CAA" w14:textId="77777777" w:rsidR="0041233C" w:rsidRPr="0013797D" w:rsidRDefault="0041233C" w:rsidP="00F34E2E">
                          <w:pPr>
                            <w:tabs>
                              <w:tab w:val="left" w:pos="11520"/>
                            </w:tabs>
                            <w:spacing w:before="60" w:after="0"/>
                            <w:ind w:left="360" w:right="547"/>
                            <w:jc w:val="right"/>
                            <w:rPr>
                              <w:rFonts w:ascii="Arial" w:hAnsi="Arial" w:cs="Arial"/>
                              <w:b/>
                              <w:smallCaps/>
                              <w:sz w:val="24"/>
                              <w:szCs w:val="24"/>
                            </w:rPr>
                          </w:pPr>
                          <w:r>
                            <w:rPr>
                              <w:rFonts w:ascii="Arial" w:hAnsi="Arial" w:cs="Arial"/>
                              <w:b/>
                              <w:smallCaps/>
                              <w:sz w:val="24"/>
                              <w:szCs w:val="24"/>
                            </w:rPr>
                            <w:t>Management’s Discussion and Analysis</w:t>
                          </w:r>
                        </w:p>
                        <w:p w14:paraId="40267CAB" w14:textId="77777777" w:rsidR="0041233C" w:rsidRDefault="0041233C" w:rsidP="004123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267C3D" id="_x0000_t202" coordsize="21600,21600" o:spt="202" path="m,l,21600r21600,l21600,xe">
              <v:stroke joinstyle="miter"/>
              <v:path gradientshapeok="t" o:connecttype="rect"/>
            </v:shapetype>
            <v:shape id="Text Box 73" o:spid="_x0000_s1027" type="#_x0000_t202" style="position:absolute;margin-left:0;margin-top:28.8pt;width:619.2pt;height:26.6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" fillcolor="#0f243e">
              <v:textbox>
                <w:txbxContent>
                  <w:p w14:paraId="40267CAA" w14:textId="77777777" w:rsidR="0041233C" w:rsidRPr="0013797D" w:rsidRDefault="0041233C" w:rsidP="00F34E2E">
                    <w:pPr>
                      <w:tabs>
                        <w:tab w:val="left" w:pos="11520"/>
                      </w:tabs>
                      <w:spacing w:before="60" w:after="0"/>
                      <w:ind w:left="360" w:right="547"/>
                      <w:jc w:val="right"/>
                      <w:rPr>
                        <w:rFonts w:ascii="Arial" w:hAnsi="Arial" w:cs="Arial"/>
                        <w:b/>
                        <w:smallCaps/>
                        <w:sz w:val="24"/>
                        <w:szCs w:val="24"/>
                      </w:rPr>
                    </w:pPr>
                    <w:r>
                      <w:rPr>
                        <w:rFonts w:ascii="Arial" w:hAnsi="Arial" w:cs="Arial"/>
                        <w:b/>
                        <w:smallCaps/>
                        <w:sz w:val="24"/>
                        <w:szCs w:val="24"/>
                      </w:rPr>
                      <w:t>Management’s Discussion and Analysis</w:t>
                    </w:r>
                  </w:p>
                  <w:p w14:paraId="40267CAB" w14:textId="77777777" w:rsidR="0041233C" w:rsidRDefault="0041233C" w:rsidP="0041233C"/>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7C07" w14:textId="77777777" w:rsidR="0041233C" w:rsidRDefault="0041233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7C08" w14:textId="7A81BAFF" w:rsidR="00841121" w:rsidRDefault="00F86ACA">
    <w:pPr>
      <w:pStyle w:val="Header"/>
    </w:pPr>
    <w:r w:rsidRPr="00841121">
      <w:rPr>
        <w:rFonts w:ascii="Univers (W1)" w:eastAsia="Times New Roman" w:hAnsi="Univers (W1)" w:cs="Times New Roman"/>
        <w:noProof/>
        <w:sz w:val="20"/>
        <w:szCs w:val="20"/>
      </w:rPr>
      <mc:AlternateContent>
        <mc:Choice Requires="wps">
          <w:drawing>
            <wp:anchor distT="0" distB="0" distL="114300" distR="114300" simplePos="0" relativeHeight="251658248" behindDoc="0" locked="0" layoutInCell="1" allowOverlap="1" wp14:anchorId="5DEFD307" wp14:editId="547FA043">
              <wp:simplePos x="0" y="0"/>
              <wp:positionH relativeFrom="page">
                <wp:posOffset>0</wp:posOffset>
              </wp:positionH>
              <wp:positionV relativeFrom="page">
                <wp:posOffset>365760</wp:posOffset>
              </wp:positionV>
              <wp:extent cx="7863840" cy="338328"/>
              <wp:effectExtent l="0" t="0" r="3810" b="5080"/>
              <wp:wrapNone/>
              <wp:docPr id="37"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3840" cy="338328"/>
                      </a:xfrm>
                      <a:prstGeom prst="rect">
                        <a:avLst/>
                      </a:prstGeom>
                      <a:solidFill>
                        <a:srgbClr val="002957"/>
                      </a:solidFill>
                      <a:ln w="9525">
                        <a:noFill/>
                        <a:miter lim="800000"/>
                        <a:headEnd/>
                        <a:tailEnd/>
                      </a:ln>
                    </wps:spPr>
                    <wps:txbx>
                      <w:txbxContent>
                        <w:p w14:paraId="186875F3" w14:textId="77777777" w:rsidR="00F86ACA" w:rsidRPr="00184EEB" w:rsidRDefault="00F86ACA" w:rsidP="00A578BB">
                          <w:pPr>
                            <w:spacing w:before="60" w:after="0"/>
                            <w:ind w:left="360" w:right="547"/>
                            <w:jc w:val="right"/>
                            <w:rPr>
                              <w:rFonts w:ascii="Trebuchet MS" w:hAnsi="Trebuchet MS" w:cs="Arial"/>
                              <w:b/>
                              <w:sz w:val="24"/>
                              <w:szCs w:val="24"/>
                            </w:rPr>
                          </w:pPr>
                          <w:r w:rsidRPr="00184EEB">
                            <w:rPr>
                              <w:rFonts w:ascii="Trebuchet MS" w:hAnsi="Trebuchet MS" w:cs="Arial"/>
                              <w:b/>
                              <w:sz w:val="24"/>
                              <w:szCs w:val="24"/>
                            </w:rPr>
                            <w:t>Notes to the Financial 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EFD307" id="_x0000_t202" coordsize="21600,21600" o:spt="202" path="m,l,21600r21600,l21600,xe">
              <v:stroke joinstyle="miter"/>
              <v:path gradientshapeok="t" o:connecttype="rect"/>
            </v:shapetype>
            <v:shape id="Text Box 121" o:spid="_x0000_s1034" type="#_x0000_t202" style="position:absolute;margin-left:0;margin-top:28.8pt;width:619.2pt;height:26.6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" fillcolor="#002957" stroked="f">
              <v:textbox>
                <w:txbxContent>
                  <w:p w14:paraId="186875F3" w14:textId="77777777" w:rsidR="00F86ACA" w:rsidRPr="00184EEB" w:rsidRDefault="00F86ACA" w:rsidP="00A578BB">
                    <w:pPr>
                      <w:spacing w:before="60" w:after="0"/>
                      <w:ind w:left="360" w:right="547"/>
                      <w:jc w:val="right"/>
                      <w:rPr>
                        <w:rFonts w:ascii="Trebuchet MS" w:hAnsi="Trebuchet MS" w:cs="Arial"/>
                        <w:b/>
                        <w:sz w:val="24"/>
                        <w:szCs w:val="24"/>
                      </w:rPr>
                    </w:pPr>
                    <w:r w:rsidRPr="00184EEB">
                      <w:rPr>
                        <w:rFonts w:ascii="Trebuchet MS" w:hAnsi="Trebuchet MS" w:cs="Arial"/>
                        <w:b/>
                        <w:sz w:val="24"/>
                        <w:szCs w:val="24"/>
                      </w:rPr>
                      <w:t>Notes to the Financial Statements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7C09" w14:textId="73286E89" w:rsidR="00841121" w:rsidRDefault="00F86ACA">
    <w:pPr>
      <w:pStyle w:val="Header"/>
    </w:pPr>
    <w:r w:rsidRPr="00841121">
      <w:rPr>
        <w:rFonts w:ascii="Univers (W1)" w:eastAsia="Times New Roman" w:hAnsi="Univers (W1)" w:cs="Times New Roman"/>
        <w:noProof/>
        <w:sz w:val="20"/>
        <w:szCs w:val="20"/>
      </w:rPr>
      <mc:AlternateContent>
        <mc:Choice Requires="wps">
          <w:drawing>
            <wp:anchor distT="0" distB="0" distL="114300" distR="114300" simplePos="0" relativeHeight="251658249" behindDoc="0" locked="0" layoutInCell="1" allowOverlap="1" wp14:anchorId="71257F05" wp14:editId="4686C965">
              <wp:simplePos x="0" y="0"/>
              <wp:positionH relativeFrom="page">
                <wp:posOffset>0</wp:posOffset>
              </wp:positionH>
              <wp:positionV relativeFrom="page">
                <wp:posOffset>365760</wp:posOffset>
              </wp:positionV>
              <wp:extent cx="7863840" cy="338328"/>
              <wp:effectExtent l="0" t="0" r="3810" b="5080"/>
              <wp:wrapNone/>
              <wp:docPr id="53"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3840" cy="338328"/>
                      </a:xfrm>
                      <a:prstGeom prst="rect">
                        <a:avLst/>
                      </a:prstGeom>
                      <a:solidFill>
                        <a:srgbClr val="002957"/>
                      </a:solidFill>
                      <a:ln w="9525">
                        <a:noFill/>
                        <a:miter lim="800000"/>
                        <a:headEnd/>
                        <a:tailEnd/>
                      </a:ln>
                    </wps:spPr>
                    <wps:txbx>
                      <w:txbxContent>
                        <w:p w14:paraId="413D9921" w14:textId="77777777" w:rsidR="00F86ACA" w:rsidRPr="00184EEB" w:rsidRDefault="00F86ACA" w:rsidP="00A578BB">
                          <w:pPr>
                            <w:spacing w:before="60" w:after="0"/>
                            <w:ind w:left="360" w:right="547"/>
                            <w:rPr>
                              <w:rFonts w:ascii="Trebuchet MS" w:hAnsi="Trebuchet MS" w:cs="Arial"/>
                              <w:b/>
                              <w:sz w:val="24"/>
                              <w:szCs w:val="24"/>
                            </w:rPr>
                          </w:pPr>
                          <w:r w:rsidRPr="00184EEB">
                            <w:rPr>
                              <w:rFonts w:ascii="Trebuchet MS" w:hAnsi="Trebuchet MS" w:cs="Arial"/>
                              <w:b/>
                              <w:sz w:val="24"/>
                              <w:szCs w:val="24"/>
                            </w:rPr>
                            <w:t>Notes to the Financial 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57F05" id="_x0000_t202" coordsize="21600,21600" o:spt="202" path="m,l,21600r21600,l21600,xe">
              <v:stroke joinstyle="miter"/>
              <v:path gradientshapeok="t" o:connecttype="rect"/>
            </v:shapetype>
            <v:shape id="_x0000_s1035" type="#_x0000_t202" style="position:absolute;margin-left:0;margin-top:28.8pt;width:619.2pt;height:26.6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" fillcolor="#002957" stroked="f">
              <v:textbox>
                <w:txbxContent>
                  <w:p w14:paraId="413D9921" w14:textId="77777777" w:rsidR="00F86ACA" w:rsidRPr="00184EEB" w:rsidRDefault="00F86ACA" w:rsidP="00A578BB">
                    <w:pPr>
                      <w:spacing w:before="60" w:after="0"/>
                      <w:ind w:left="360" w:right="547"/>
                      <w:rPr>
                        <w:rFonts w:ascii="Trebuchet MS" w:hAnsi="Trebuchet MS" w:cs="Arial"/>
                        <w:b/>
                        <w:sz w:val="24"/>
                        <w:szCs w:val="24"/>
                      </w:rPr>
                    </w:pPr>
                    <w:r w:rsidRPr="00184EEB">
                      <w:rPr>
                        <w:rFonts w:ascii="Trebuchet MS" w:hAnsi="Trebuchet MS" w:cs="Arial"/>
                        <w:b/>
                        <w:sz w:val="24"/>
                        <w:szCs w:val="24"/>
                      </w:rPr>
                      <w:t>Notes to the Financial Statements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EDF6F" w14:textId="77777777" w:rsidR="002F0549" w:rsidRPr="005D100F" w:rsidRDefault="002F0549" w:rsidP="002F0549">
    <w:pPr>
      <w:spacing w:after="0" w:line="240" w:lineRule="auto"/>
      <w:jc w:val="center"/>
      <w:rPr>
        <w:rFonts w:ascii="Paraguay" w:eastAsia="Times New Roman" w:hAnsi="Paraguay" w:cs="Times New Roman"/>
        <w:b/>
        <w:sz w:val="40"/>
        <w:szCs w:val="20"/>
      </w:rPr>
    </w:pPr>
    <w:r w:rsidRPr="005D100F">
      <w:rPr>
        <w:rFonts w:ascii="Copperplate Gothic Bold" w:eastAsia="Times New Roman" w:hAnsi="Copperplate Gothic Bold" w:cs="Times New Roman"/>
        <w:sz w:val="16"/>
        <w:szCs w:val="20"/>
      </w:rPr>
      <w:t>STATE OF NORTH CAROLINA</w:t>
    </w:r>
  </w:p>
  <w:p w14:paraId="78FE684F" w14:textId="77777777" w:rsidR="002F0549" w:rsidRPr="005D100F" w:rsidRDefault="002F0549" w:rsidP="002F0549">
    <w:pPr>
      <w:spacing w:after="0" w:line="240" w:lineRule="auto"/>
      <w:jc w:val="center"/>
      <w:rPr>
        <w:rFonts w:ascii="Times New Roman" w:eastAsia="Times New Roman" w:hAnsi="Times New Roman" w:cs="Times New Roman"/>
        <w:sz w:val="24"/>
        <w:szCs w:val="20"/>
      </w:rPr>
    </w:pPr>
    <w:r w:rsidRPr="005D100F">
      <w:rPr>
        <w:rFonts w:ascii="Old English Text MT" w:eastAsia="Times New Roman" w:hAnsi="Old English Text MT" w:cs="Times New Roman"/>
        <w:b/>
        <w:sz w:val="36"/>
        <w:szCs w:val="20"/>
      </w:rPr>
      <w:t>Office of the State Auditor</w:t>
    </w:r>
  </w:p>
  <w:tbl>
    <w:tblPr>
      <w:tblW w:w="10998" w:type="dxa"/>
      <w:tblInd w:w="-954" w:type="dxa"/>
      <w:tblLayout w:type="fixed"/>
      <w:tblLook w:val="0000" w:firstRow="0" w:lastRow="0" w:firstColumn="0" w:lastColumn="0" w:noHBand="0" w:noVBand="0"/>
    </w:tblPr>
    <w:tblGrid>
      <w:gridCol w:w="2979"/>
      <w:gridCol w:w="5310"/>
      <w:gridCol w:w="2709"/>
    </w:tblGrid>
    <w:tr w:rsidR="002F0549" w:rsidRPr="005D100F" w14:paraId="79C7CF35" w14:textId="77777777" w:rsidTr="002F4326">
      <w:trPr>
        <w:cantSplit/>
        <w:trHeight w:val="2160"/>
      </w:trPr>
      <w:tc>
        <w:tcPr>
          <w:tcW w:w="2979" w:type="dxa"/>
          <w:vAlign w:val="bottom"/>
        </w:tcPr>
        <w:p w14:paraId="52F48760" w14:textId="77777777" w:rsidR="002F0549" w:rsidRPr="005D100F" w:rsidRDefault="002F0549" w:rsidP="002F4326">
          <w:pPr>
            <w:spacing w:before="40" w:after="0" w:line="240" w:lineRule="auto"/>
            <w:jc w:val="center"/>
            <w:rPr>
              <w:rFonts w:ascii="Century Gothic" w:eastAsia="Times New Roman" w:hAnsi="Century Gothic" w:cs="Times New Roman"/>
              <w:b/>
              <w:sz w:val="18"/>
              <w:szCs w:val="20"/>
            </w:rPr>
          </w:pPr>
          <w:r w:rsidRPr="005D100F">
            <w:rPr>
              <w:rFonts w:ascii="Black Chancery" w:eastAsia="Times New Roman" w:hAnsi="Black Chancery" w:cs="Times New Roman"/>
              <w:noProof/>
              <w:sz w:val="40"/>
              <w:szCs w:val="20"/>
            </w:rPr>
            <w:drawing>
              <wp:inline distT="0" distB="0" distL="0" distR="0" wp14:anchorId="016525A9" wp14:editId="20626C2F">
                <wp:extent cx="962025" cy="962025"/>
                <wp:effectExtent l="0" t="0" r="9525" b="9525"/>
                <wp:docPr id="1012938512" name="Picture 1012938512" descr="Seal_of_North_Carolina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eal_of_North_Carolina_sv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09FA3E47" w14:textId="77777777" w:rsidR="002F0549" w:rsidRPr="005D100F" w:rsidRDefault="002F0549" w:rsidP="002F4326">
          <w:pPr>
            <w:spacing w:before="60" w:after="0" w:line="240" w:lineRule="auto"/>
            <w:jc w:val="center"/>
            <w:rPr>
              <w:rFonts w:ascii="Arial" w:eastAsia="Times New Roman" w:hAnsi="Arial" w:cs="Times New Roman"/>
              <w:b/>
              <w:sz w:val="18"/>
              <w:szCs w:val="20"/>
            </w:rPr>
          </w:pPr>
          <w:r w:rsidRPr="005D100F">
            <w:rPr>
              <w:rFonts w:ascii="Arial" w:eastAsia="Times New Roman" w:hAnsi="Arial" w:cs="Times New Roman"/>
              <w:b/>
              <w:sz w:val="18"/>
              <w:szCs w:val="20"/>
            </w:rPr>
            <w:t>Beth A. Wood, CPA</w:t>
          </w:r>
        </w:p>
        <w:p w14:paraId="6033D972" w14:textId="77777777" w:rsidR="002F0549" w:rsidRPr="005D100F" w:rsidRDefault="002F0549" w:rsidP="002F4326">
          <w:pPr>
            <w:spacing w:after="0" w:line="240" w:lineRule="auto"/>
            <w:jc w:val="center"/>
            <w:rPr>
              <w:rFonts w:ascii="Century Gothic" w:eastAsia="Times New Roman" w:hAnsi="Century Gothic" w:cs="Times New Roman"/>
              <w:sz w:val="18"/>
              <w:szCs w:val="20"/>
            </w:rPr>
          </w:pPr>
          <w:r w:rsidRPr="005D100F">
            <w:rPr>
              <w:rFonts w:ascii="Arial" w:eastAsia="Times New Roman" w:hAnsi="Arial" w:cs="Times New Roman"/>
              <w:sz w:val="18"/>
              <w:szCs w:val="20"/>
            </w:rPr>
            <w:t>State Auditor</w:t>
          </w:r>
        </w:p>
      </w:tc>
      <w:tc>
        <w:tcPr>
          <w:tcW w:w="5310" w:type="dxa"/>
        </w:tcPr>
        <w:p w14:paraId="4029D856" w14:textId="77777777" w:rsidR="002F0549" w:rsidRPr="005D100F" w:rsidRDefault="002F0549" w:rsidP="002F4326">
          <w:pPr>
            <w:spacing w:after="0" w:line="240" w:lineRule="auto"/>
            <w:ind w:left="-108"/>
            <w:jc w:val="center"/>
            <w:rPr>
              <w:rFonts w:ascii="Old English Text MT" w:eastAsia="Times New Roman" w:hAnsi="Old English Text MT" w:cs="Times New Roman"/>
              <w:b/>
              <w:sz w:val="36"/>
              <w:szCs w:val="20"/>
            </w:rPr>
          </w:pPr>
        </w:p>
        <w:p w14:paraId="205D20A1" w14:textId="77777777" w:rsidR="002F0549" w:rsidRPr="005D100F" w:rsidRDefault="002F0549" w:rsidP="002F4326">
          <w:pPr>
            <w:spacing w:after="0" w:line="240" w:lineRule="auto"/>
            <w:ind w:left="1152"/>
            <w:jc w:val="center"/>
            <w:rPr>
              <w:rFonts w:ascii="Century Gothic" w:eastAsia="Times New Roman" w:hAnsi="Century Gothic" w:cs="Times New Roman"/>
              <w:sz w:val="20"/>
              <w:szCs w:val="20"/>
            </w:rPr>
          </w:pPr>
        </w:p>
      </w:tc>
      <w:tc>
        <w:tcPr>
          <w:tcW w:w="2709" w:type="dxa"/>
          <w:vAlign w:val="bottom"/>
        </w:tcPr>
        <w:p w14:paraId="2FB97B9C" w14:textId="77777777" w:rsidR="002F0549" w:rsidRPr="00044A72" w:rsidRDefault="002F0549" w:rsidP="002F4326">
          <w:pPr>
            <w:spacing w:after="0" w:line="240" w:lineRule="auto"/>
            <w:rPr>
              <w:rFonts w:ascii="Arial" w:eastAsia="Times New Roman" w:hAnsi="Arial" w:cs="Times New Roman"/>
              <w:sz w:val="16"/>
              <w:szCs w:val="20"/>
            </w:rPr>
          </w:pPr>
          <w:r w:rsidRPr="005D100F">
            <w:rPr>
              <w:rFonts w:ascii="Black Chancery" w:eastAsia="Times New Roman" w:hAnsi="Black Chancery" w:cs="Times New Roman"/>
              <w:noProof/>
              <w:sz w:val="40"/>
              <w:szCs w:val="20"/>
            </w:rPr>
            <mc:AlternateContent>
              <mc:Choice Requires="wps">
                <w:drawing>
                  <wp:anchor distT="0" distB="0" distL="114300" distR="114300" simplePos="0" relativeHeight="251658243" behindDoc="0" locked="0" layoutInCell="1" allowOverlap="1" wp14:anchorId="7ADD0BDB" wp14:editId="0D1CD286">
                    <wp:simplePos x="0" y="0"/>
                    <wp:positionH relativeFrom="column">
                      <wp:posOffset>-43815</wp:posOffset>
                    </wp:positionH>
                    <wp:positionV relativeFrom="paragraph">
                      <wp:posOffset>215900</wp:posOffset>
                    </wp:positionV>
                    <wp:extent cx="1631950" cy="893445"/>
                    <wp:effectExtent l="0" t="0" r="6350" b="19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893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EE5751" w14:textId="77777777" w:rsidR="002F0549" w:rsidRPr="005D100F" w:rsidRDefault="002F0549" w:rsidP="002F0549">
                                <w:pPr>
                                  <w:spacing w:after="0" w:line="240" w:lineRule="auto"/>
                                  <w:jc w:val="right"/>
                                  <w:rPr>
                                    <w:rFonts w:ascii="Arial" w:eastAsia="Times New Roman" w:hAnsi="Arial" w:cs="Times New Roman"/>
                                    <w:sz w:val="16"/>
                                    <w:szCs w:val="20"/>
                                  </w:rPr>
                                </w:pPr>
                                <w:r>
                                  <w:rPr>
                                    <w:rFonts w:ascii="Arial" w:eastAsia="Times New Roman" w:hAnsi="Arial" w:cs="Times New Roman"/>
                                    <w:sz w:val="16"/>
                                    <w:szCs w:val="20"/>
                                  </w:rPr>
                                  <w:t xml:space="preserve">                                                                                                                                                                                                                                                                                                                                                                                                                                                                                                                                                                                                                                                                                                                                                                                                                                                                                                                                                                                                                                                                                                                                                                                                                                                                                                                                                                                                                                                                                                                                                                                                                                                                                                                                                                                                                                                                                                                                                                                                                                             </w:t>
                                </w:r>
                                <w:r w:rsidRPr="005D100F">
                                  <w:rPr>
                                    <w:rFonts w:ascii="Arial" w:eastAsia="Times New Roman" w:hAnsi="Arial" w:cs="Times New Roman"/>
                                    <w:sz w:val="16"/>
                                    <w:szCs w:val="20"/>
                                  </w:rPr>
                                  <w:t>2 S. Salisbury Street</w:t>
                                </w:r>
                              </w:p>
                              <w:p w14:paraId="1A98AA7A" w14:textId="77777777" w:rsidR="002F0549" w:rsidRPr="005D100F" w:rsidRDefault="002F0549" w:rsidP="002F0549">
                                <w:pPr>
                                  <w:spacing w:after="0" w:line="240" w:lineRule="auto"/>
                                  <w:ind w:left="-90" w:hanging="270"/>
                                  <w:jc w:val="right"/>
                                  <w:rPr>
                                    <w:rFonts w:ascii="Arial" w:eastAsia="Times New Roman" w:hAnsi="Arial" w:cs="Times New Roman"/>
                                    <w:sz w:val="16"/>
                                    <w:szCs w:val="20"/>
                                  </w:rPr>
                                </w:pPr>
                                <w:r w:rsidRPr="005D100F">
                                  <w:rPr>
                                    <w:rFonts w:ascii="Arial" w:eastAsia="Times New Roman" w:hAnsi="Arial" w:cs="Times New Roman"/>
                                    <w:sz w:val="16"/>
                                    <w:szCs w:val="20"/>
                                  </w:rPr>
                                  <w:t>20601 Mail Service Center</w:t>
                                </w:r>
                              </w:p>
                              <w:p w14:paraId="6DD0BAF2" w14:textId="77777777" w:rsidR="002F0549" w:rsidRPr="005D100F" w:rsidRDefault="002F0549" w:rsidP="002F0549">
                                <w:pPr>
                                  <w:spacing w:after="0" w:line="240" w:lineRule="auto"/>
                                  <w:ind w:left="234"/>
                                  <w:jc w:val="right"/>
                                  <w:rPr>
                                    <w:rFonts w:ascii="Arial" w:eastAsia="Times New Roman" w:hAnsi="Arial" w:cs="Times New Roman"/>
                                    <w:sz w:val="16"/>
                                    <w:szCs w:val="20"/>
                                  </w:rPr>
                                </w:pPr>
                                <w:r w:rsidRPr="005D100F">
                                  <w:rPr>
                                    <w:rFonts w:ascii="Arial" w:eastAsia="Times New Roman" w:hAnsi="Arial" w:cs="Times New Roman"/>
                                    <w:sz w:val="16"/>
                                    <w:szCs w:val="20"/>
                                  </w:rPr>
                                  <w:t>Raleigh, NC</w:t>
                                </w:r>
                                <w:r>
                                  <w:rPr>
                                    <w:rFonts w:ascii="Arial" w:eastAsia="Times New Roman" w:hAnsi="Arial" w:cs="Times New Roman"/>
                                    <w:sz w:val="16"/>
                                    <w:szCs w:val="20"/>
                                  </w:rPr>
                                  <w:t xml:space="preserve"> </w:t>
                                </w:r>
                                <w:r w:rsidRPr="005D100F">
                                  <w:rPr>
                                    <w:rFonts w:ascii="Arial" w:eastAsia="Times New Roman" w:hAnsi="Arial" w:cs="Times New Roman"/>
                                    <w:sz w:val="16"/>
                                    <w:szCs w:val="20"/>
                                  </w:rPr>
                                  <w:t>27699-0600</w:t>
                                </w:r>
                              </w:p>
                              <w:p w14:paraId="7BA0D1B1" w14:textId="77777777" w:rsidR="002F0549" w:rsidRPr="005D100F" w:rsidRDefault="002F0549" w:rsidP="002F0549">
                                <w:pPr>
                                  <w:spacing w:after="0" w:line="240" w:lineRule="auto"/>
                                  <w:ind w:left="234"/>
                                  <w:jc w:val="right"/>
                                  <w:rPr>
                                    <w:rFonts w:ascii="Arial" w:eastAsia="Times New Roman" w:hAnsi="Arial" w:cs="Times New Roman"/>
                                    <w:sz w:val="16"/>
                                    <w:szCs w:val="20"/>
                                  </w:rPr>
                                </w:pPr>
                                <w:r w:rsidRPr="005D100F">
                                  <w:rPr>
                                    <w:rFonts w:ascii="Arial" w:eastAsia="Times New Roman" w:hAnsi="Arial" w:cs="Times New Roman"/>
                                    <w:sz w:val="16"/>
                                    <w:szCs w:val="20"/>
                                  </w:rPr>
                                  <w:t>Telephone: (919) 807-7500</w:t>
                                </w:r>
                              </w:p>
                              <w:p w14:paraId="63997633" w14:textId="77777777" w:rsidR="002F0549" w:rsidRPr="00044A72" w:rsidRDefault="002F0549" w:rsidP="002F0549">
                                <w:pPr>
                                  <w:spacing w:after="0" w:line="240" w:lineRule="auto"/>
                                  <w:ind w:left="234"/>
                                  <w:jc w:val="right"/>
                                  <w:rPr>
                                    <w:rFonts w:ascii="Arial" w:eastAsia="Times New Roman" w:hAnsi="Arial" w:cs="Times New Roman"/>
                                    <w:sz w:val="16"/>
                                    <w:szCs w:val="20"/>
                                  </w:rPr>
                                </w:pPr>
                                <w:r w:rsidRPr="00044A72">
                                  <w:rPr>
                                    <w:rFonts w:ascii="Arial" w:eastAsia="Times New Roman" w:hAnsi="Arial" w:cs="Times New Roman"/>
                                    <w:sz w:val="16"/>
                                    <w:szCs w:val="20"/>
                                  </w:rPr>
                                  <w:t>Fax: (919) 807-7647</w:t>
                                </w:r>
                              </w:p>
                              <w:p w14:paraId="115868F5" w14:textId="77777777" w:rsidR="002F0549" w:rsidRPr="005D100F" w:rsidRDefault="002F0549" w:rsidP="002F0549">
                                <w:pPr>
                                  <w:spacing w:after="0" w:line="240" w:lineRule="auto"/>
                                  <w:jc w:val="right"/>
                                  <w:rPr>
                                    <w:rFonts w:ascii="Univers (W1)" w:eastAsia="Times New Roman" w:hAnsi="Univers (W1)" w:cs="Times New Roman"/>
                                    <w:sz w:val="20"/>
                                    <w:szCs w:val="20"/>
                                  </w:rPr>
                                </w:pPr>
                                <w:r w:rsidRPr="00044A72">
                                  <w:rPr>
                                    <w:rFonts w:ascii="Arial" w:eastAsia="Times New Roman" w:hAnsi="Arial" w:cs="Times New Roman"/>
                                    <w:sz w:val="16"/>
                                    <w:szCs w:val="20"/>
                                  </w:rPr>
                                  <w:t>http://www.ncauditor.net</w:t>
                                </w:r>
                              </w:p>
                              <w:p w14:paraId="07BF3E19" w14:textId="77777777" w:rsidR="002F0549" w:rsidRPr="005D100F" w:rsidRDefault="002F0549" w:rsidP="002F0549">
                                <w:pPr>
                                  <w:spacing w:after="0" w:line="240" w:lineRule="auto"/>
                                  <w:jc w:val="right"/>
                                  <w:rPr>
                                    <w:rFonts w:ascii="Univers (W1)" w:eastAsia="Times New Roman" w:hAnsi="Univers (W1)" w:cs="Times New Roman"/>
                                    <w:sz w:val="20"/>
                                    <w:szCs w:val="20"/>
                                  </w:rPr>
                                </w:pPr>
                              </w:p>
                              <w:p w14:paraId="4EBDF64F" w14:textId="77777777" w:rsidR="002F0549" w:rsidRDefault="002F0549" w:rsidP="002F0549">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DD0BDB" id="_x0000_t202" coordsize="21600,21600" o:spt="202" path="m,l,21600r21600,l21600,xe">
                    <v:stroke joinstyle="miter"/>
                    <v:path gradientshapeok="t" o:connecttype="rect"/>
                  </v:shapetype>
                  <v:shape id="Text Box 11" o:spid="_x0000_s1036" type="#_x0000_t202" style="position:absolute;margin-left:-3.45pt;margin-top:17pt;width:128.5pt;height:70.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" stroked="f">
                    <v:textbox>
                      <w:txbxContent>
                        <w:p w14:paraId="68EE5751" w14:textId="77777777" w:rsidR="002F0549" w:rsidRPr="005D100F" w:rsidRDefault="002F0549" w:rsidP="002F0549">
                          <w:pPr>
                            <w:spacing w:after="0" w:line="240" w:lineRule="auto"/>
                            <w:jc w:val="right"/>
                            <w:rPr>
                              <w:rFonts w:ascii="Arial" w:eastAsia="Times New Roman" w:hAnsi="Arial" w:cs="Times New Roman"/>
                              <w:sz w:val="16"/>
                              <w:szCs w:val="20"/>
                            </w:rPr>
                          </w:pPr>
                          <w:r>
                            <w:rPr>
                              <w:rFonts w:ascii="Arial" w:eastAsia="Times New Roman" w:hAnsi="Arial" w:cs="Times New Roman"/>
                              <w:sz w:val="16"/>
                              <w:szCs w:val="20"/>
                            </w:rPr>
                            <w:t xml:space="preserve">                                                                                                                                                                                                                                                                                                                                                                                                                                                                                                                                                                                                                                                                                                                                                                                                                                                                                                                                                                                                                                                                                                                                                                                                                                                                                                                                                                                                                                                                                                                                                                                                                                                                                                                                                                                                                                                                                                                                                                                                                                             </w:t>
                          </w:r>
                          <w:r w:rsidRPr="005D100F">
                            <w:rPr>
                              <w:rFonts w:ascii="Arial" w:eastAsia="Times New Roman" w:hAnsi="Arial" w:cs="Times New Roman"/>
                              <w:sz w:val="16"/>
                              <w:szCs w:val="20"/>
                            </w:rPr>
                            <w:t>2 S. Salisbury Street</w:t>
                          </w:r>
                        </w:p>
                        <w:p w14:paraId="1A98AA7A" w14:textId="77777777" w:rsidR="002F0549" w:rsidRPr="005D100F" w:rsidRDefault="002F0549" w:rsidP="002F0549">
                          <w:pPr>
                            <w:spacing w:after="0" w:line="240" w:lineRule="auto"/>
                            <w:ind w:left="-90" w:hanging="270"/>
                            <w:jc w:val="right"/>
                            <w:rPr>
                              <w:rFonts w:ascii="Arial" w:eastAsia="Times New Roman" w:hAnsi="Arial" w:cs="Times New Roman"/>
                              <w:sz w:val="16"/>
                              <w:szCs w:val="20"/>
                            </w:rPr>
                          </w:pPr>
                          <w:r w:rsidRPr="005D100F">
                            <w:rPr>
                              <w:rFonts w:ascii="Arial" w:eastAsia="Times New Roman" w:hAnsi="Arial" w:cs="Times New Roman"/>
                              <w:sz w:val="16"/>
                              <w:szCs w:val="20"/>
                            </w:rPr>
                            <w:t>20601 Mail Service Center</w:t>
                          </w:r>
                        </w:p>
                        <w:p w14:paraId="6DD0BAF2" w14:textId="77777777" w:rsidR="002F0549" w:rsidRPr="005D100F" w:rsidRDefault="002F0549" w:rsidP="002F0549">
                          <w:pPr>
                            <w:spacing w:after="0" w:line="240" w:lineRule="auto"/>
                            <w:ind w:left="234"/>
                            <w:jc w:val="right"/>
                            <w:rPr>
                              <w:rFonts w:ascii="Arial" w:eastAsia="Times New Roman" w:hAnsi="Arial" w:cs="Times New Roman"/>
                              <w:sz w:val="16"/>
                              <w:szCs w:val="20"/>
                            </w:rPr>
                          </w:pPr>
                          <w:r w:rsidRPr="005D100F">
                            <w:rPr>
                              <w:rFonts w:ascii="Arial" w:eastAsia="Times New Roman" w:hAnsi="Arial" w:cs="Times New Roman"/>
                              <w:sz w:val="16"/>
                              <w:szCs w:val="20"/>
                            </w:rPr>
                            <w:t>Raleigh, NC</w:t>
                          </w:r>
                          <w:r>
                            <w:rPr>
                              <w:rFonts w:ascii="Arial" w:eastAsia="Times New Roman" w:hAnsi="Arial" w:cs="Times New Roman"/>
                              <w:sz w:val="16"/>
                              <w:szCs w:val="20"/>
                            </w:rPr>
                            <w:t xml:space="preserve"> </w:t>
                          </w:r>
                          <w:r w:rsidRPr="005D100F">
                            <w:rPr>
                              <w:rFonts w:ascii="Arial" w:eastAsia="Times New Roman" w:hAnsi="Arial" w:cs="Times New Roman"/>
                              <w:sz w:val="16"/>
                              <w:szCs w:val="20"/>
                            </w:rPr>
                            <w:t>27699-0600</w:t>
                          </w:r>
                        </w:p>
                        <w:p w14:paraId="7BA0D1B1" w14:textId="77777777" w:rsidR="002F0549" w:rsidRPr="005D100F" w:rsidRDefault="002F0549" w:rsidP="002F0549">
                          <w:pPr>
                            <w:spacing w:after="0" w:line="240" w:lineRule="auto"/>
                            <w:ind w:left="234"/>
                            <w:jc w:val="right"/>
                            <w:rPr>
                              <w:rFonts w:ascii="Arial" w:eastAsia="Times New Roman" w:hAnsi="Arial" w:cs="Times New Roman"/>
                              <w:sz w:val="16"/>
                              <w:szCs w:val="20"/>
                            </w:rPr>
                          </w:pPr>
                          <w:r w:rsidRPr="005D100F">
                            <w:rPr>
                              <w:rFonts w:ascii="Arial" w:eastAsia="Times New Roman" w:hAnsi="Arial" w:cs="Times New Roman"/>
                              <w:sz w:val="16"/>
                              <w:szCs w:val="20"/>
                            </w:rPr>
                            <w:t>Telephone: (919) 807-7500</w:t>
                          </w:r>
                        </w:p>
                        <w:p w14:paraId="63997633" w14:textId="77777777" w:rsidR="002F0549" w:rsidRPr="00044A72" w:rsidRDefault="002F0549" w:rsidP="002F0549">
                          <w:pPr>
                            <w:spacing w:after="0" w:line="240" w:lineRule="auto"/>
                            <w:ind w:left="234"/>
                            <w:jc w:val="right"/>
                            <w:rPr>
                              <w:rFonts w:ascii="Arial" w:eastAsia="Times New Roman" w:hAnsi="Arial" w:cs="Times New Roman"/>
                              <w:sz w:val="16"/>
                              <w:szCs w:val="20"/>
                            </w:rPr>
                          </w:pPr>
                          <w:r w:rsidRPr="00044A72">
                            <w:rPr>
                              <w:rFonts w:ascii="Arial" w:eastAsia="Times New Roman" w:hAnsi="Arial" w:cs="Times New Roman"/>
                              <w:sz w:val="16"/>
                              <w:szCs w:val="20"/>
                            </w:rPr>
                            <w:t>Fax: (919) 807-7647</w:t>
                          </w:r>
                        </w:p>
                        <w:p w14:paraId="115868F5" w14:textId="77777777" w:rsidR="002F0549" w:rsidRPr="005D100F" w:rsidRDefault="002F0549" w:rsidP="002F0549">
                          <w:pPr>
                            <w:spacing w:after="0" w:line="240" w:lineRule="auto"/>
                            <w:jc w:val="right"/>
                            <w:rPr>
                              <w:rFonts w:ascii="Univers (W1)" w:eastAsia="Times New Roman" w:hAnsi="Univers (W1)" w:cs="Times New Roman"/>
                              <w:sz w:val="20"/>
                              <w:szCs w:val="20"/>
                            </w:rPr>
                          </w:pPr>
                          <w:r w:rsidRPr="00044A72">
                            <w:rPr>
                              <w:rFonts w:ascii="Arial" w:eastAsia="Times New Roman" w:hAnsi="Arial" w:cs="Times New Roman"/>
                              <w:sz w:val="16"/>
                              <w:szCs w:val="20"/>
                            </w:rPr>
                            <w:t>http://www.ncauditor.net</w:t>
                          </w:r>
                        </w:p>
                        <w:p w14:paraId="07BF3E19" w14:textId="77777777" w:rsidR="002F0549" w:rsidRPr="005D100F" w:rsidRDefault="002F0549" w:rsidP="002F0549">
                          <w:pPr>
                            <w:spacing w:after="0" w:line="240" w:lineRule="auto"/>
                            <w:jc w:val="right"/>
                            <w:rPr>
                              <w:rFonts w:ascii="Univers (W1)" w:eastAsia="Times New Roman" w:hAnsi="Univers (W1)" w:cs="Times New Roman"/>
                              <w:sz w:val="20"/>
                              <w:szCs w:val="20"/>
                            </w:rPr>
                          </w:pPr>
                        </w:p>
                        <w:p w14:paraId="4EBDF64F" w14:textId="77777777" w:rsidR="002F0549" w:rsidRDefault="002F0549" w:rsidP="002F0549">
                          <w:pPr>
                            <w:jc w:val="right"/>
                          </w:pPr>
                        </w:p>
                      </w:txbxContent>
                    </v:textbox>
                  </v:shape>
                </w:pict>
              </mc:Fallback>
            </mc:AlternateContent>
          </w:r>
        </w:p>
      </w:tc>
    </w:tr>
  </w:tbl>
  <w:p w14:paraId="40267C13" w14:textId="77777777" w:rsidR="00841121" w:rsidRDefault="0084112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7C14" w14:textId="77777777" w:rsidR="008610DC" w:rsidRDefault="008610D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7C15" w14:textId="77777777" w:rsidR="005A31CF" w:rsidRDefault="005A31C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7C1D" w14:textId="77777777" w:rsidR="002F4326" w:rsidRPr="002E1DCC" w:rsidRDefault="002F4326" w:rsidP="002F4326">
    <w:pPr>
      <w:pStyle w:val="Header"/>
      <w:ind w:left="-15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836" w:hanging="433"/>
      </w:pPr>
      <w:rPr>
        <w:rFonts w:ascii="Arial" w:hAnsi="Arial" w:cs="Arial"/>
        <w:b w:val="0"/>
        <w:bCs w:val="0"/>
        <w:sz w:val="18"/>
        <w:szCs w:val="18"/>
      </w:rPr>
    </w:lvl>
    <w:lvl w:ilvl="1">
      <w:numFmt w:val="bullet"/>
      <w:lvlText w:val="•"/>
      <w:lvlJc w:val="left"/>
      <w:pPr>
        <w:ind w:left="1812" w:hanging="433"/>
      </w:pPr>
    </w:lvl>
    <w:lvl w:ilvl="2">
      <w:numFmt w:val="bullet"/>
      <w:lvlText w:val="•"/>
      <w:lvlJc w:val="left"/>
      <w:pPr>
        <w:ind w:left="2789" w:hanging="433"/>
      </w:pPr>
    </w:lvl>
    <w:lvl w:ilvl="3">
      <w:numFmt w:val="bullet"/>
      <w:lvlText w:val="•"/>
      <w:lvlJc w:val="left"/>
      <w:pPr>
        <w:ind w:left="3765" w:hanging="433"/>
      </w:pPr>
    </w:lvl>
    <w:lvl w:ilvl="4">
      <w:numFmt w:val="bullet"/>
      <w:lvlText w:val="•"/>
      <w:lvlJc w:val="left"/>
      <w:pPr>
        <w:ind w:left="4741" w:hanging="433"/>
      </w:pPr>
    </w:lvl>
    <w:lvl w:ilvl="5">
      <w:numFmt w:val="bullet"/>
      <w:lvlText w:val="•"/>
      <w:lvlJc w:val="left"/>
      <w:pPr>
        <w:ind w:left="5718" w:hanging="433"/>
      </w:pPr>
    </w:lvl>
    <w:lvl w:ilvl="6">
      <w:numFmt w:val="bullet"/>
      <w:lvlText w:val="•"/>
      <w:lvlJc w:val="left"/>
      <w:pPr>
        <w:ind w:left="6694" w:hanging="433"/>
      </w:pPr>
    </w:lvl>
    <w:lvl w:ilvl="7">
      <w:numFmt w:val="bullet"/>
      <w:lvlText w:val="•"/>
      <w:lvlJc w:val="left"/>
      <w:pPr>
        <w:ind w:left="7670" w:hanging="433"/>
      </w:pPr>
    </w:lvl>
    <w:lvl w:ilvl="8">
      <w:numFmt w:val="bullet"/>
      <w:lvlText w:val="•"/>
      <w:lvlJc w:val="left"/>
      <w:pPr>
        <w:ind w:left="8647" w:hanging="433"/>
      </w:pPr>
    </w:lvl>
  </w:abstractNum>
  <w:abstractNum w:abstractNumId="1" w15:restartNumberingAfterBreak="0">
    <w:nsid w:val="0C317138"/>
    <w:multiLevelType w:val="hybridMultilevel"/>
    <w:tmpl w:val="9BDCB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E2857"/>
    <w:multiLevelType w:val="hybridMultilevel"/>
    <w:tmpl w:val="32368B06"/>
    <w:lvl w:ilvl="0" w:tplc="EDF0BEA6">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DC85647"/>
    <w:multiLevelType w:val="hybridMultilevel"/>
    <w:tmpl w:val="051A2B3E"/>
    <w:lvl w:ilvl="0" w:tplc="0B4E10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1650C35"/>
    <w:multiLevelType w:val="hybridMultilevel"/>
    <w:tmpl w:val="1A1AA272"/>
    <w:lvl w:ilvl="0" w:tplc="D5443E0E">
      <w:start w:val="1"/>
      <w:numFmt w:val="decimal"/>
      <w:lvlText w:val="%1."/>
      <w:lvlJc w:val="left"/>
      <w:pPr>
        <w:ind w:left="2088" w:hanging="360"/>
      </w:pPr>
      <w:rPr>
        <w:rFonts w:hint="default"/>
        <w:b/>
        <w:i/>
        <w:color w:val="0000FF"/>
      </w:rPr>
    </w:lvl>
    <w:lvl w:ilvl="1" w:tplc="04090019">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5" w15:restartNumberingAfterBreak="0">
    <w:nsid w:val="13224250"/>
    <w:multiLevelType w:val="hybridMultilevel"/>
    <w:tmpl w:val="C0A05968"/>
    <w:lvl w:ilvl="0" w:tplc="92D44B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D13D21"/>
    <w:multiLevelType w:val="hybridMultilevel"/>
    <w:tmpl w:val="02887E8E"/>
    <w:lvl w:ilvl="0" w:tplc="19366C24">
      <w:start w:val="1"/>
      <w:numFmt w:val="lowerLetter"/>
      <w:lvlText w:val="(%1)"/>
      <w:lvlJc w:val="left"/>
      <w:pPr>
        <w:ind w:left="3240" w:hanging="10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159D59B0"/>
    <w:multiLevelType w:val="hybridMultilevel"/>
    <w:tmpl w:val="1A208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1F676D"/>
    <w:multiLevelType w:val="hybridMultilevel"/>
    <w:tmpl w:val="F88EE70A"/>
    <w:lvl w:ilvl="0" w:tplc="F6BE5AF2">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87A372F"/>
    <w:multiLevelType w:val="hybridMultilevel"/>
    <w:tmpl w:val="7054C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853ABA"/>
    <w:multiLevelType w:val="hybridMultilevel"/>
    <w:tmpl w:val="550AF6F4"/>
    <w:lvl w:ilvl="0" w:tplc="A30CA5D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9AA322E"/>
    <w:multiLevelType w:val="hybridMultilevel"/>
    <w:tmpl w:val="BAEED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22785F"/>
    <w:multiLevelType w:val="hybridMultilevel"/>
    <w:tmpl w:val="F8F0D112"/>
    <w:lvl w:ilvl="0" w:tplc="6B308A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1FE5151"/>
    <w:multiLevelType w:val="hybridMultilevel"/>
    <w:tmpl w:val="E28CA1BC"/>
    <w:lvl w:ilvl="0" w:tplc="82B275B4">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C05447"/>
    <w:multiLevelType w:val="hybridMultilevel"/>
    <w:tmpl w:val="DB48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587D34"/>
    <w:multiLevelType w:val="hybridMultilevel"/>
    <w:tmpl w:val="E3921838"/>
    <w:lvl w:ilvl="0" w:tplc="D028068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C11492F"/>
    <w:multiLevelType w:val="hybridMultilevel"/>
    <w:tmpl w:val="02887E8E"/>
    <w:lvl w:ilvl="0" w:tplc="19366C24">
      <w:start w:val="1"/>
      <w:numFmt w:val="lowerLetter"/>
      <w:lvlText w:val="(%1)"/>
      <w:lvlJc w:val="left"/>
      <w:pPr>
        <w:ind w:left="3240" w:hanging="10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2F5D4F7E"/>
    <w:multiLevelType w:val="hybridMultilevel"/>
    <w:tmpl w:val="C6BEEEC2"/>
    <w:lvl w:ilvl="0" w:tplc="1494BB48">
      <w:start w:val="1"/>
      <w:numFmt w:val="upperLetter"/>
      <w:lvlText w:val="%1."/>
      <w:lvlJc w:val="left"/>
      <w:pPr>
        <w:ind w:left="1800" w:hanging="360"/>
      </w:pPr>
      <w:rPr>
        <w:rFonts w:hint="default"/>
        <w:b/>
        <w:i w:val="0"/>
        <w:iCs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5BA5D98"/>
    <w:multiLevelType w:val="hybridMultilevel"/>
    <w:tmpl w:val="F63612D8"/>
    <w:lvl w:ilvl="0" w:tplc="FCCA5D2E">
      <w:start w:val="1"/>
      <w:numFmt w:val="upperLetter"/>
      <w:lvlText w:val="%1."/>
      <w:lvlJc w:val="left"/>
      <w:pPr>
        <w:ind w:left="1800" w:hanging="360"/>
      </w:pPr>
      <w:rPr>
        <w:rFonts w:ascii="Arial" w:hAnsi="Arial" w:cs="Arial"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23D6A41"/>
    <w:multiLevelType w:val="hybridMultilevel"/>
    <w:tmpl w:val="97F8973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32C3FF4"/>
    <w:multiLevelType w:val="hybridMultilevel"/>
    <w:tmpl w:val="A64C43E4"/>
    <w:lvl w:ilvl="0" w:tplc="F19207AC">
      <w:start w:val="1"/>
      <w:numFmt w:val="upperLetter"/>
      <w:lvlText w:val="%1."/>
      <w:lvlJc w:val="left"/>
      <w:pPr>
        <w:ind w:left="720" w:hanging="360"/>
      </w:pPr>
      <w:rPr>
        <w:rFonts w:ascii="Aptos" w:hAnsi="Aptos" w:cs="Arial"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4327D31"/>
    <w:multiLevelType w:val="hybridMultilevel"/>
    <w:tmpl w:val="02887E8E"/>
    <w:lvl w:ilvl="0" w:tplc="19366C24">
      <w:start w:val="1"/>
      <w:numFmt w:val="lowerLetter"/>
      <w:lvlText w:val="(%1)"/>
      <w:lvlJc w:val="left"/>
      <w:pPr>
        <w:ind w:left="3240" w:hanging="10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4DDD6D7B"/>
    <w:multiLevelType w:val="hybridMultilevel"/>
    <w:tmpl w:val="DCA43332"/>
    <w:lvl w:ilvl="0" w:tplc="4E6E223E">
      <w:start w:val="1"/>
      <w:numFmt w:val="decimal"/>
      <w:lvlText w:val="%1."/>
      <w:lvlJc w:val="left"/>
      <w:pPr>
        <w:ind w:left="2610" w:hanging="360"/>
      </w:pPr>
      <w:rPr>
        <w:rFonts w:hint="default"/>
        <w:b/>
        <w:sz w:val="22"/>
        <w:szCs w:val="22"/>
      </w:rPr>
    </w:lvl>
    <w:lvl w:ilvl="1" w:tplc="04090019">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3" w15:restartNumberingAfterBreak="0">
    <w:nsid w:val="4FB50CD4"/>
    <w:multiLevelType w:val="hybridMultilevel"/>
    <w:tmpl w:val="7FE4BA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4" w15:restartNumberingAfterBreak="0">
    <w:nsid w:val="503E1100"/>
    <w:multiLevelType w:val="singleLevel"/>
    <w:tmpl w:val="C6265324"/>
    <w:lvl w:ilvl="0">
      <w:start w:val="3"/>
      <w:numFmt w:val="upperLetter"/>
      <w:lvlText w:val="%1."/>
      <w:lvlJc w:val="left"/>
      <w:pPr>
        <w:tabs>
          <w:tab w:val="num" w:pos="1920"/>
        </w:tabs>
        <w:ind w:left="1920" w:hanging="480"/>
      </w:pPr>
      <w:rPr>
        <w:rFonts w:hint="default"/>
        <w:b/>
      </w:rPr>
    </w:lvl>
  </w:abstractNum>
  <w:abstractNum w:abstractNumId="25" w15:restartNumberingAfterBreak="0">
    <w:nsid w:val="5E175BA4"/>
    <w:multiLevelType w:val="hybridMultilevel"/>
    <w:tmpl w:val="40BE4D0E"/>
    <w:lvl w:ilvl="0" w:tplc="A308E1A0">
      <w:start w:val="1"/>
      <w:numFmt w:val="upperRoman"/>
      <w:lvlText w:val="%1."/>
      <w:lvlJc w:val="left"/>
      <w:pPr>
        <w:ind w:left="2405" w:hanging="720"/>
      </w:pPr>
      <w:rPr>
        <w:rFonts w:hint="default"/>
        <w:b/>
      </w:rPr>
    </w:lvl>
    <w:lvl w:ilvl="1" w:tplc="04090019" w:tentative="1">
      <w:start w:val="1"/>
      <w:numFmt w:val="lowerLetter"/>
      <w:lvlText w:val="%2."/>
      <w:lvlJc w:val="left"/>
      <w:pPr>
        <w:ind w:left="2765" w:hanging="360"/>
      </w:pPr>
    </w:lvl>
    <w:lvl w:ilvl="2" w:tplc="0409001B" w:tentative="1">
      <w:start w:val="1"/>
      <w:numFmt w:val="lowerRoman"/>
      <w:lvlText w:val="%3."/>
      <w:lvlJc w:val="right"/>
      <w:pPr>
        <w:ind w:left="3485" w:hanging="180"/>
      </w:pPr>
    </w:lvl>
    <w:lvl w:ilvl="3" w:tplc="0409000F" w:tentative="1">
      <w:start w:val="1"/>
      <w:numFmt w:val="decimal"/>
      <w:lvlText w:val="%4."/>
      <w:lvlJc w:val="left"/>
      <w:pPr>
        <w:ind w:left="4205" w:hanging="360"/>
      </w:pPr>
    </w:lvl>
    <w:lvl w:ilvl="4" w:tplc="04090019" w:tentative="1">
      <w:start w:val="1"/>
      <w:numFmt w:val="lowerLetter"/>
      <w:lvlText w:val="%5."/>
      <w:lvlJc w:val="left"/>
      <w:pPr>
        <w:ind w:left="4925" w:hanging="360"/>
      </w:pPr>
    </w:lvl>
    <w:lvl w:ilvl="5" w:tplc="0409001B" w:tentative="1">
      <w:start w:val="1"/>
      <w:numFmt w:val="lowerRoman"/>
      <w:lvlText w:val="%6."/>
      <w:lvlJc w:val="right"/>
      <w:pPr>
        <w:ind w:left="5645" w:hanging="180"/>
      </w:pPr>
    </w:lvl>
    <w:lvl w:ilvl="6" w:tplc="0409000F" w:tentative="1">
      <w:start w:val="1"/>
      <w:numFmt w:val="decimal"/>
      <w:lvlText w:val="%7."/>
      <w:lvlJc w:val="left"/>
      <w:pPr>
        <w:ind w:left="6365" w:hanging="360"/>
      </w:pPr>
    </w:lvl>
    <w:lvl w:ilvl="7" w:tplc="04090019" w:tentative="1">
      <w:start w:val="1"/>
      <w:numFmt w:val="lowerLetter"/>
      <w:lvlText w:val="%8."/>
      <w:lvlJc w:val="left"/>
      <w:pPr>
        <w:ind w:left="7085" w:hanging="360"/>
      </w:pPr>
    </w:lvl>
    <w:lvl w:ilvl="8" w:tplc="0409001B" w:tentative="1">
      <w:start w:val="1"/>
      <w:numFmt w:val="lowerRoman"/>
      <w:lvlText w:val="%9."/>
      <w:lvlJc w:val="right"/>
      <w:pPr>
        <w:ind w:left="7805" w:hanging="180"/>
      </w:pPr>
    </w:lvl>
  </w:abstractNum>
  <w:abstractNum w:abstractNumId="26" w15:restartNumberingAfterBreak="0">
    <w:nsid w:val="61DE47DB"/>
    <w:multiLevelType w:val="hybridMultilevel"/>
    <w:tmpl w:val="8266FF8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15:restartNumberingAfterBreak="0">
    <w:nsid w:val="63382508"/>
    <w:multiLevelType w:val="hybridMultilevel"/>
    <w:tmpl w:val="D67879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4104B7"/>
    <w:multiLevelType w:val="hybridMultilevel"/>
    <w:tmpl w:val="7C043F4E"/>
    <w:lvl w:ilvl="0" w:tplc="0E866A5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64183E64"/>
    <w:multiLevelType w:val="hybridMultilevel"/>
    <w:tmpl w:val="C26E6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62187D"/>
    <w:multiLevelType w:val="hybridMultilevel"/>
    <w:tmpl w:val="0DFAAC58"/>
    <w:lvl w:ilvl="0" w:tplc="1864256E">
      <w:start w:val="1"/>
      <w:numFmt w:val="decimal"/>
      <w:lvlText w:val="%1."/>
      <w:lvlJc w:val="left"/>
      <w:pPr>
        <w:ind w:left="2179" w:hanging="360"/>
      </w:pPr>
      <w:rPr>
        <w:rFonts w:hint="default"/>
        <w:b/>
      </w:rPr>
    </w:lvl>
    <w:lvl w:ilvl="1" w:tplc="04090019" w:tentative="1">
      <w:start w:val="1"/>
      <w:numFmt w:val="lowerLetter"/>
      <w:lvlText w:val="%2."/>
      <w:lvlJc w:val="left"/>
      <w:pPr>
        <w:ind w:left="2899" w:hanging="360"/>
      </w:pPr>
    </w:lvl>
    <w:lvl w:ilvl="2" w:tplc="0409001B" w:tentative="1">
      <w:start w:val="1"/>
      <w:numFmt w:val="lowerRoman"/>
      <w:lvlText w:val="%3."/>
      <w:lvlJc w:val="right"/>
      <w:pPr>
        <w:ind w:left="3619" w:hanging="180"/>
      </w:pPr>
    </w:lvl>
    <w:lvl w:ilvl="3" w:tplc="0409000F" w:tentative="1">
      <w:start w:val="1"/>
      <w:numFmt w:val="decimal"/>
      <w:lvlText w:val="%4."/>
      <w:lvlJc w:val="left"/>
      <w:pPr>
        <w:ind w:left="4339" w:hanging="360"/>
      </w:pPr>
    </w:lvl>
    <w:lvl w:ilvl="4" w:tplc="04090019" w:tentative="1">
      <w:start w:val="1"/>
      <w:numFmt w:val="lowerLetter"/>
      <w:lvlText w:val="%5."/>
      <w:lvlJc w:val="left"/>
      <w:pPr>
        <w:ind w:left="5059" w:hanging="360"/>
      </w:pPr>
    </w:lvl>
    <w:lvl w:ilvl="5" w:tplc="0409001B" w:tentative="1">
      <w:start w:val="1"/>
      <w:numFmt w:val="lowerRoman"/>
      <w:lvlText w:val="%6."/>
      <w:lvlJc w:val="right"/>
      <w:pPr>
        <w:ind w:left="5779" w:hanging="180"/>
      </w:pPr>
    </w:lvl>
    <w:lvl w:ilvl="6" w:tplc="0409000F" w:tentative="1">
      <w:start w:val="1"/>
      <w:numFmt w:val="decimal"/>
      <w:lvlText w:val="%7."/>
      <w:lvlJc w:val="left"/>
      <w:pPr>
        <w:ind w:left="6499" w:hanging="360"/>
      </w:pPr>
    </w:lvl>
    <w:lvl w:ilvl="7" w:tplc="04090019" w:tentative="1">
      <w:start w:val="1"/>
      <w:numFmt w:val="lowerLetter"/>
      <w:lvlText w:val="%8."/>
      <w:lvlJc w:val="left"/>
      <w:pPr>
        <w:ind w:left="7219" w:hanging="360"/>
      </w:pPr>
    </w:lvl>
    <w:lvl w:ilvl="8" w:tplc="0409001B" w:tentative="1">
      <w:start w:val="1"/>
      <w:numFmt w:val="lowerRoman"/>
      <w:lvlText w:val="%9."/>
      <w:lvlJc w:val="right"/>
      <w:pPr>
        <w:ind w:left="7939" w:hanging="180"/>
      </w:pPr>
    </w:lvl>
  </w:abstractNum>
  <w:abstractNum w:abstractNumId="31" w15:restartNumberingAfterBreak="0">
    <w:nsid w:val="747E50DE"/>
    <w:multiLevelType w:val="hybridMultilevel"/>
    <w:tmpl w:val="C5981204"/>
    <w:lvl w:ilvl="0" w:tplc="B0D2DDE8">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7C87CA7"/>
    <w:multiLevelType w:val="hybridMultilevel"/>
    <w:tmpl w:val="9A94A894"/>
    <w:lvl w:ilvl="0" w:tplc="B91C1BB0">
      <w:start w:val="1"/>
      <w:numFmt w:val="upperLetter"/>
      <w:lvlText w:val="%1."/>
      <w:lvlJc w:val="left"/>
      <w:pPr>
        <w:ind w:left="180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B233340"/>
    <w:multiLevelType w:val="hybridMultilevel"/>
    <w:tmpl w:val="35FC869C"/>
    <w:lvl w:ilvl="0" w:tplc="D7B27210">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BDD1255"/>
    <w:multiLevelType w:val="hybridMultilevel"/>
    <w:tmpl w:val="DDFA4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9D5552"/>
    <w:multiLevelType w:val="hybridMultilevel"/>
    <w:tmpl w:val="4356A6DA"/>
    <w:lvl w:ilvl="0" w:tplc="9E7222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107584725">
    <w:abstractNumId w:val="29"/>
  </w:num>
  <w:num w:numId="2" w16cid:durableId="1866745816">
    <w:abstractNumId w:val="9"/>
  </w:num>
  <w:num w:numId="3" w16cid:durableId="1220284739">
    <w:abstractNumId w:val="14"/>
  </w:num>
  <w:num w:numId="4" w16cid:durableId="496114292">
    <w:abstractNumId w:val="11"/>
  </w:num>
  <w:num w:numId="5" w16cid:durableId="430979741">
    <w:abstractNumId w:val="34"/>
  </w:num>
  <w:num w:numId="6" w16cid:durableId="57435460">
    <w:abstractNumId w:val="24"/>
  </w:num>
  <w:num w:numId="7" w16cid:durableId="1939478826">
    <w:abstractNumId w:val="33"/>
  </w:num>
  <w:num w:numId="8" w16cid:durableId="1587881954">
    <w:abstractNumId w:val="25"/>
  </w:num>
  <w:num w:numId="9" w16cid:durableId="505511198">
    <w:abstractNumId w:val="0"/>
  </w:num>
  <w:num w:numId="10" w16cid:durableId="1303149928">
    <w:abstractNumId w:val="18"/>
  </w:num>
  <w:num w:numId="11" w16cid:durableId="703335317">
    <w:abstractNumId w:val="27"/>
  </w:num>
  <w:num w:numId="12" w16cid:durableId="175120717">
    <w:abstractNumId w:val="7"/>
  </w:num>
  <w:num w:numId="13" w16cid:durableId="640698408">
    <w:abstractNumId w:val="26"/>
  </w:num>
  <w:num w:numId="14" w16cid:durableId="1583250780">
    <w:abstractNumId w:val="23"/>
  </w:num>
  <w:num w:numId="15" w16cid:durableId="1645116467">
    <w:abstractNumId w:val="10"/>
  </w:num>
  <w:num w:numId="16" w16cid:durableId="1096049616">
    <w:abstractNumId w:val="30"/>
  </w:num>
  <w:num w:numId="17" w16cid:durableId="1165130776">
    <w:abstractNumId w:val="17"/>
  </w:num>
  <w:num w:numId="18" w16cid:durableId="903025695">
    <w:abstractNumId w:val="12"/>
  </w:num>
  <w:num w:numId="19" w16cid:durableId="76172525">
    <w:abstractNumId w:val="4"/>
  </w:num>
  <w:num w:numId="20" w16cid:durableId="1308582959">
    <w:abstractNumId w:val="21"/>
  </w:num>
  <w:num w:numId="21" w16cid:durableId="815804295">
    <w:abstractNumId w:val="16"/>
  </w:num>
  <w:num w:numId="22" w16cid:durableId="1589539845">
    <w:abstractNumId w:val="15"/>
  </w:num>
  <w:num w:numId="23" w16cid:durableId="1338312018">
    <w:abstractNumId w:val="28"/>
  </w:num>
  <w:num w:numId="24" w16cid:durableId="595988888">
    <w:abstractNumId w:val="5"/>
  </w:num>
  <w:num w:numId="25" w16cid:durableId="1211384777">
    <w:abstractNumId w:val="22"/>
  </w:num>
  <w:num w:numId="26" w16cid:durableId="1304383994">
    <w:abstractNumId w:val="3"/>
  </w:num>
  <w:num w:numId="27" w16cid:durableId="324019093">
    <w:abstractNumId w:val="35"/>
  </w:num>
  <w:num w:numId="28" w16cid:durableId="404762942">
    <w:abstractNumId w:val="32"/>
  </w:num>
  <w:num w:numId="29" w16cid:durableId="1905213859">
    <w:abstractNumId w:val="31"/>
  </w:num>
  <w:num w:numId="30" w16cid:durableId="2065789444">
    <w:abstractNumId w:val="6"/>
  </w:num>
  <w:num w:numId="31" w16cid:durableId="209002517">
    <w:abstractNumId w:val="13"/>
  </w:num>
  <w:num w:numId="32" w16cid:durableId="1173225841">
    <w:abstractNumId w:val="2"/>
  </w:num>
  <w:num w:numId="33" w16cid:durableId="1686857314">
    <w:abstractNumId w:val="8"/>
  </w:num>
  <w:num w:numId="34" w16cid:durableId="708188622">
    <w:abstractNumId w:val="1"/>
  </w:num>
  <w:num w:numId="35" w16cid:durableId="132218400">
    <w:abstractNumId w:val="19"/>
  </w:num>
  <w:num w:numId="36" w16cid:durableId="8829823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344551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585166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247452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vid Ehricht">
    <w15:presenceInfo w15:providerId="AD" w15:userId="S::David.Ehricht@ncauditor.gov::70bd6793-6a38-4830-a82c-b4c27dcd51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778"/>
    <w:rsid w:val="000029F9"/>
    <w:rsid w:val="00012D7F"/>
    <w:rsid w:val="00013E8A"/>
    <w:rsid w:val="00014196"/>
    <w:rsid w:val="00015504"/>
    <w:rsid w:val="00015A06"/>
    <w:rsid w:val="00015F59"/>
    <w:rsid w:val="000215BC"/>
    <w:rsid w:val="00024017"/>
    <w:rsid w:val="00026DCF"/>
    <w:rsid w:val="00033BDC"/>
    <w:rsid w:val="000344B9"/>
    <w:rsid w:val="00035425"/>
    <w:rsid w:val="00037482"/>
    <w:rsid w:val="00037E0C"/>
    <w:rsid w:val="000408A9"/>
    <w:rsid w:val="00043C9E"/>
    <w:rsid w:val="000443BA"/>
    <w:rsid w:val="00044A72"/>
    <w:rsid w:val="00044B34"/>
    <w:rsid w:val="0004502F"/>
    <w:rsid w:val="0004561E"/>
    <w:rsid w:val="00047836"/>
    <w:rsid w:val="00057FCD"/>
    <w:rsid w:val="00060B59"/>
    <w:rsid w:val="000637EE"/>
    <w:rsid w:val="00064DE8"/>
    <w:rsid w:val="00064FE9"/>
    <w:rsid w:val="000650DA"/>
    <w:rsid w:val="00066E24"/>
    <w:rsid w:val="000678F1"/>
    <w:rsid w:val="00072E6B"/>
    <w:rsid w:val="00073F7F"/>
    <w:rsid w:val="00087AE5"/>
    <w:rsid w:val="00092102"/>
    <w:rsid w:val="0009396A"/>
    <w:rsid w:val="000A02D1"/>
    <w:rsid w:val="000A09F1"/>
    <w:rsid w:val="000A2335"/>
    <w:rsid w:val="000A3741"/>
    <w:rsid w:val="000A63DD"/>
    <w:rsid w:val="000A6A98"/>
    <w:rsid w:val="000A7999"/>
    <w:rsid w:val="000A7EF9"/>
    <w:rsid w:val="000B300B"/>
    <w:rsid w:val="000B4E04"/>
    <w:rsid w:val="000B4E2D"/>
    <w:rsid w:val="000B5279"/>
    <w:rsid w:val="000B5B5B"/>
    <w:rsid w:val="000B72DC"/>
    <w:rsid w:val="000C2862"/>
    <w:rsid w:val="000C76BF"/>
    <w:rsid w:val="000D0F3F"/>
    <w:rsid w:val="000D1902"/>
    <w:rsid w:val="000D1993"/>
    <w:rsid w:val="000E123D"/>
    <w:rsid w:val="000E316A"/>
    <w:rsid w:val="000E3916"/>
    <w:rsid w:val="000E3935"/>
    <w:rsid w:val="000E524E"/>
    <w:rsid w:val="000E582F"/>
    <w:rsid w:val="000F0CD5"/>
    <w:rsid w:val="000F2714"/>
    <w:rsid w:val="000F2C47"/>
    <w:rsid w:val="000F7528"/>
    <w:rsid w:val="000F757A"/>
    <w:rsid w:val="001012A8"/>
    <w:rsid w:val="00103C91"/>
    <w:rsid w:val="001044EE"/>
    <w:rsid w:val="00105BDC"/>
    <w:rsid w:val="001064B4"/>
    <w:rsid w:val="001106D5"/>
    <w:rsid w:val="0011512A"/>
    <w:rsid w:val="0012163F"/>
    <w:rsid w:val="001225A9"/>
    <w:rsid w:val="00141CDB"/>
    <w:rsid w:val="00141E3D"/>
    <w:rsid w:val="00145634"/>
    <w:rsid w:val="00151684"/>
    <w:rsid w:val="00164702"/>
    <w:rsid w:val="0016797D"/>
    <w:rsid w:val="00171228"/>
    <w:rsid w:val="0017370A"/>
    <w:rsid w:val="00174CCE"/>
    <w:rsid w:val="00180244"/>
    <w:rsid w:val="001807EE"/>
    <w:rsid w:val="0019002A"/>
    <w:rsid w:val="00195266"/>
    <w:rsid w:val="00196006"/>
    <w:rsid w:val="001A1F96"/>
    <w:rsid w:val="001A2E5E"/>
    <w:rsid w:val="001A4253"/>
    <w:rsid w:val="001A425C"/>
    <w:rsid w:val="001A79C9"/>
    <w:rsid w:val="001B29B4"/>
    <w:rsid w:val="001B36BF"/>
    <w:rsid w:val="001C17B5"/>
    <w:rsid w:val="001C6680"/>
    <w:rsid w:val="001C7CC2"/>
    <w:rsid w:val="001D055B"/>
    <w:rsid w:val="001D6C91"/>
    <w:rsid w:val="001E23F0"/>
    <w:rsid w:val="001E4EA1"/>
    <w:rsid w:val="001E5FD5"/>
    <w:rsid w:val="001F5B03"/>
    <w:rsid w:val="0020211F"/>
    <w:rsid w:val="002066C0"/>
    <w:rsid w:val="002069B9"/>
    <w:rsid w:val="00207CDB"/>
    <w:rsid w:val="00217CB2"/>
    <w:rsid w:val="00217D3B"/>
    <w:rsid w:val="00227168"/>
    <w:rsid w:val="00231014"/>
    <w:rsid w:val="00231733"/>
    <w:rsid w:val="00232276"/>
    <w:rsid w:val="00232548"/>
    <w:rsid w:val="0023760D"/>
    <w:rsid w:val="002401FC"/>
    <w:rsid w:val="0024507C"/>
    <w:rsid w:val="0025481D"/>
    <w:rsid w:val="00254A51"/>
    <w:rsid w:val="0026127E"/>
    <w:rsid w:val="00262BAE"/>
    <w:rsid w:val="00262C95"/>
    <w:rsid w:val="00263667"/>
    <w:rsid w:val="00266443"/>
    <w:rsid w:val="0027094C"/>
    <w:rsid w:val="00272D5F"/>
    <w:rsid w:val="00273E0E"/>
    <w:rsid w:val="00273F6A"/>
    <w:rsid w:val="00274484"/>
    <w:rsid w:val="00277EF8"/>
    <w:rsid w:val="002806B8"/>
    <w:rsid w:val="00280DC4"/>
    <w:rsid w:val="00283FFA"/>
    <w:rsid w:val="00285F5A"/>
    <w:rsid w:val="00286335"/>
    <w:rsid w:val="00293054"/>
    <w:rsid w:val="002A345C"/>
    <w:rsid w:val="002A7BF2"/>
    <w:rsid w:val="002B0FE3"/>
    <w:rsid w:val="002B2C74"/>
    <w:rsid w:val="002B5EE6"/>
    <w:rsid w:val="002C0787"/>
    <w:rsid w:val="002C10B8"/>
    <w:rsid w:val="002C1898"/>
    <w:rsid w:val="002C2D90"/>
    <w:rsid w:val="002C4D7B"/>
    <w:rsid w:val="002C5F87"/>
    <w:rsid w:val="002C6230"/>
    <w:rsid w:val="002C70A0"/>
    <w:rsid w:val="002D2148"/>
    <w:rsid w:val="002D24C5"/>
    <w:rsid w:val="002D5436"/>
    <w:rsid w:val="002D7073"/>
    <w:rsid w:val="002E3CBF"/>
    <w:rsid w:val="002E42B9"/>
    <w:rsid w:val="002E4C45"/>
    <w:rsid w:val="002E7871"/>
    <w:rsid w:val="002F0549"/>
    <w:rsid w:val="002F1134"/>
    <w:rsid w:val="002F4326"/>
    <w:rsid w:val="00301FAD"/>
    <w:rsid w:val="003038B0"/>
    <w:rsid w:val="00303EA0"/>
    <w:rsid w:val="003042F9"/>
    <w:rsid w:val="00306372"/>
    <w:rsid w:val="0030781D"/>
    <w:rsid w:val="00313266"/>
    <w:rsid w:val="00314B08"/>
    <w:rsid w:val="00320925"/>
    <w:rsid w:val="00320A67"/>
    <w:rsid w:val="00323AB9"/>
    <w:rsid w:val="00324109"/>
    <w:rsid w:val="00324575"/>
    <w:rsid w:val="00327A92"/>
    <w:rsid w:val="003305F3"/>
    <w:rsid w:val="00331B9A"/>
    <w:rsid w:val="00331C34"/>
    <w:rsid w:val="003326F0"/>
    <w:rsid w:val="0033725A"/>
    <w:rsid w:val="00337F30"/>
    <w:rsid w:val="00341155"/>
    <w:rsid w:val="00341498"/>
    <w:rsid w:val="003459A5"/>
    <w:rsid w:val="003508CF"/>
    <w:rsid w:val="00350B3B"/>
    <w:rsid w:val="00350EA7"/>
    <w:rsid w:val="003534B5"/>
    <w:rsid w:val="00355556"/>
    <w:rsid w:val="003566BA"/>
    <w:rsid w:val="00356BB8"/>
    <w:rsid w:val="00361371"/>
    <w:rsid w:val="00363AE9"/>
    <w:rsid w:val="00364517"/>
    <w:rsid w:val="0037241E"/>
    <w:rsid w:val="00372E8A"/>
    <w:rsid w:val="00377B6E"/>
    <w:rsid w:val="00380C9D"/>
    <w:rsid w:val="00381412"/>
    <w:rsid w:val="003818DE"/>
    <w:rsid w:val="00387977"/>
    <w:rsid w:val="00390A54"/>
    <w:rsid w:val="00390BC9"/>
    <w:rsid w:val="00392525"/>
    <w:rsid w:val="00392740"/>
    <w:rsid w:val="003951BA"/>
    <w:rsid w:val="003A051C"/>
    <w:rsid w:val="003A35CC"/>
    <w:rsid w:val="003A5952"/>
    <w:rsid w:val="003A6C3B"/>
    <w:rsid w:val="003B1866"/>
    <w:rsid w:val="003B28BC"/>
    <w:rsid w:val="003B313B"/>
    <w:rsid w:val="003B3A74"/>
    <w:rsid w:val="003C1C7C"/>
    <w:rsid w:val="003C1F94"/>
    <w:rsid w:val="003C2527"/>
    <w:rsid w:val="003C2B9F"/>
    <w:rsid w:val="003C4787"/>
    <w:rsid w:val="003C6051"/>
    <w:rsid w:val="003C7F96"/>
    <w:rsid w:val="003D3F7A"/>
    <w:rsid w:val="003D4A50"/>
    <w:rsid w:val="003D50F8"/>
    <w:rsid w:val="003E1ABE"/>
    <w:rsid w:val="003E55C2"/>
    <w:rsid w:val="003E5E41"/>
    <w:rsid w:val="003E62C9"/>
    <w:rsid w:val="003E7F3A"/>
    <w:rsid w:val="003F14B4"/>
    <w:rsid w:val="003F5257"/>
    <w:rsid w:val="0040299E"/>
    <w:rsid w:val="00406E50"/>
    <w:rsid w:val="004071ED"/>
    <w:rsid w:val="00407A88"/>
    <w:rsid w:val="004109EE"/>
    <w:rsid w:val="0041233C"/>
    <w:rsid w:val="00422C49"/>
    <w:rsid w:val="00423A33"/>
    <w:rsid w:val="00430354"/>
    <w:rsid w:val="00430A96"/>
    <w:rsid w:val="0043242A"/>
    <w:rsid w:val="00435050"/>
    <w:rsid w:val="00443485"/>
    <w:rsid w:val="00443CE6"/>
    <w:rsid w:val="00444B79"/>
    <w:rsid w:val="0045191E"/>
    <w:rsid w:val="004535BB"/>
    <w:rsid w:val="004577CA"/>
    <w:rsid w:val="00461070"/>
    <w:rsid w:val="00461A9F"/>
    <w:rsid w:val="004629B0"/>
    <w:rsid w:val="00465608"/>
    <w:rsid w:val="00466BDE"/>
    <w:rsid w:val="00473CE3"/>
    <w:rsid w:val="0048226F"/>
    <w:rsid w:val="00482CC4"/>
    <w:rsid w:val="0048492F"/>
    <w:rsid w:val="004855A2"/>
    <w:rsid w:val="004907AD"/>
    <w:rsid w:val="00491CF4"/>
    <w:rsid w:val="004970A2"/>
    <w:rsid w:val="004972FA"/>
    <w:rsid w:val="004B4400"/>
    <w:rsid w:val="004B5244"/>
    <w:rsid w:val="004C1195"/>
    <w:rsid w:val="004C2409"/>
    <w:rsid w:val="004D466C"/>
    <w:rsid w:val="004D56F1"/>
    <w:rsid w:val="004D57DC"/>
    <w:rsid w:val="004E0304"/>
    <w:rsid w:val="004E0643"/>
    <w:rsid w:val="004E62B1"/>
    <w:rsid w:val="004F2E2D"/>
    <w:rsid w:val="004F3E7A"/>
    <w:rsid w:val="004F7D32"/>
    <w:rsid w:val="00500AFA"/>
    <w:rsid w:val="005010B7"/>
    <w:rsid w:val="005018E9"/>
    <w:rsid w:val="00504246"/>
    <w:rsid w:val="00506BEB"/>
    <w:rsid w:val="00507A59"/>
    <w:rsid w:val="00513F26"/>
    <w:rsid w:val="00515EEE"/>
    <w:rsid w:val="00516E1F"/>
    <w:rsid w:val="00520649"/>
    <w:rsid w:val="00520C75"/>
    <w:rsid w:val="00522CC0"/>
    <w:rsid w:val="005257E7"/>
    <w:rsid w:val="00527924"/>
    <w:rsid w:val="0053567E"/>
    <w:rsid w:val="00535885"/>
    <w:rsid w:val="0054031B"/>
    <w:rsid w:val="00540FA1"/>
    <w:rsid w:val="00543E0D"/>
    <w:rsid w:val="00545C8B"/>
    <w:rsid w:val="00547DF0"/>
    <w:rsid w:val="005533BE"/>
    <w:rsid w:val="00555300"/>
    <w:rsid w:val="0055689E"/>
    <w:rsid w:val="005612F5"/>
    <w:rsid w:val="00561D73"/>
    <w:rsid w:val="005666A2"/>
    <w:rsid w:val="005667CD"/>
    <w:rsid w:val="005721E3"/>
    <w:rsid w:val="00572D10"/>
    <w:rsid w:val="005742C2"/>
    <w:rsid w:val="0057460F"/>
    <w:rsid w:val="00577556"/>
    <w:rsid w:val="005806A7"/>
    <w:rsid w:val="00580B8C"/>
    <w:rsid w:val="00581AF6"/>
    <w:rsid w:val="005844EC"/>
    <w:rsid w:val="00585763"/>
    <w:rsid w:val="0059138A"/>
    <w:rsid w:val="0059474E"/>
    <w:rsid w:val="005A0273"/>
    <w:rsid w:val="005A1B67"/>
    <w:rsid w:val="005A25D8"/>
    <w:rsid w:val="005A31CF"/>
    <w:rsid w:val="005A6F44"/>
    <w:rsid w:val="005B3903"/>
    <w:rsid w:val="005B5E61"/>
    <w:rsid w:val="005B66EC"/>
    <w:rsid w:val="005C1891"/>
    <w:rsid w:val="005C65F0"/>
    <w:rsid w:val="005D0586"/>
    <w:rsid w:val="005D100F"/>
    <w:rsid w:val="005D1080"/>
    <w:rsid w:val="005D5643"/>
    <w:rsid w:val="005D64F0"/>
    <w:rsid w:val="005E04AD"/>
    <w:rsid w:val="00607E98"/>
    <w:rsid w:val="00611F95"/>
    <w:rsid w:val="006129E1"/>
    <w:rsid w:val="00613B51"/>
    <w:rsid w:val="006144EE"/>
    <w:rsid w:val="0061467E"/>
    <w:rsid w:val="00625427"/>
    <w:rsid w:val="00626025"/>
    <w:rsid w:val="0062686D"/>
    <w:rsid w:val="00640368"/>
    <w:rsid w:val="006404D8"/>
    <w:rsid w:val="00641103"/>
    <w:rsid w:val="00641331"/>
    <w:rsid w:val="00645322"/>
    <w:rsid w:val="0064643D"/>
    <w:rsid w:val="00662F7A"/>
    <w:rsid w:val="00663F45"/>
    <w:rsid w:val="00664F89"/>
    <w:rsid w:val="0066558E"/>
    <w:rsid w:val="00667308"/>
    <w:rsid w:val="00667EA0"/>
    <w:rsid w:val="006723FC"/>
    <w:rsid w:val="00672E8F"/>
    <w:rsid w:val="00674912"/>
    <w:rsid w:val="00674D5D"/>
    <w:rsid w:val="0068409A"/>
    <w:rsid w:val="00684A06"/>
    <w:rsid w:val="00685DCD"/>
    <w:rsid w:val="0069181F"/>
    <w:rsid w:val="00692C30"/>
    <w:rsid w:val="00695D8B"/>
    <w:rsid w:val="00696309"/>
    <w:rsid w:val="00697126"/>
    <w:rsid w:val="006A27C5"/>
    <w:rsid w:val="006A5037"/>
    <w:rsid w:val="006A57E7"/>
    <w:rsid w:val="006B0077"/>
    <w:rsid w:val="006B3413"/>
    <w:rsid w:val="006B4933"/>
    <w:rsid w:val="006B56F8"/>
    <w:rsid w:val="006B5982"/>
    <w:rsid w:val="006B6128"/>
    <w:rsid w:val="006B71D0"/>
    <w:rsid w:val="006C08DD"/>
    <w:rsid w:val="006C1977"/>
    <w:rsid w:val="006C20F9"/>
    <w:rsid w:val="006C2359"/>
    <w:rsid w:val="006C2626"/>
    <w:rsid w:val="006C2C5A"/>
    <w:rsid w:val="006C6BE6"/>
    <w:rsid w:val="006C79BE"/>
    <w:rsid w:val="006D3475"/>
    <w:rsid w:val="006D4EA5"/>
    <w:rsid w:val="006D6CB1"/>
    <w:rsid w:val="006E0C63"/>
    <w:rsid w:val="006E1E23"/>
    <w:rsid w:val="006E62E5"/>
    <w:rsid w:val="006E7F21"/>
    <w:rsid w:val="006F0908"/>
    <w:rsid w:val="006F0E66"/>
    <w:rsid w:val="006F1D20"/>
    <w:rsid w:val="006F77CF"/>
    <w:rsid w:val="007018F0"/>
    <w:rsid w:val="00710C7A"/>
    <w:rsid w:val="00710E22"/>
    <w:rsid w:val="00711BF9"/>
    <w:rsid w:val="0071217E"/>
    <w:rsid w:val="00713774"/>
    <w:rsid w:val="007201D3"/>
    <w:rsid w:val="0072667C"/>
    <w:rsid w:val="0074120D"/>
    <w:rsid w:val="007427C3"/>
    <w:rsid w:val="0074668E"/>
    <w:rsid w:val="00753AEA"/>
    <w:rsid w:val="00756094"/>
    <w:rsid w:val="00756281"/>
    <w:rsid w:val="00756C14"/>
    <w:rsid w:val="00757E36"/>
    <w:rsid w:val="00760778"/>
    <w:rsid w:val="007616A9"/>
    <w:rsid w:val="0076177C"/>
    <w:rsid w:val="00762AD2"/>
    <w:rsid w:val="00762D0E"/>
    <w:rsid w:val="007641DB"/>
    <w:rsid w:val="00770B34"/>
    <w:rsid w:val="00775F7B"/>
    <w:rsid w:val="00777088"/>
    <w:rsid w:val="007843C0"/>
    <w:rsid w:val="00784AC8"/>
    <w:rsid w:val="007854A0"/>
    <w:rsid w:val="00786405"/>
    <w:rsid w:val="00787320"/>
    <w:rsid w:val="0079208C"/>
    <w:rsid w:val="00793654"/>
    <w:rsid w:val="0079713D"/>
    <w:rsid w:val="00797467"/>
    <w:rsid w:val="007A4421"/>
    <w:rsid w:val="007A58F4"/>
    <w:rsid w:val="007A60CF"/>
    <w:rsid w:val="007A7D6D"/>
    <w:rsid w:val="007B192E"/>
    <w:rsid w:val="007B3B2D"/>
    <w:rsid w:val="007B5593"/>
    <w:rsid w:val="007B769C"/>
    <w:rsid w:val="007C05EC"/>
    <w:rsid w:val="007C0A70"/>
    <w:rsid w:val="007C3712"/>
    <w:rsid w:val="007C3822"/>
    <w:rsid w:val="007C7602"/>
    <w:rsid w:val="007D0641"/>
    <w:rsid w:val="007D2252"/>
    <w:rsid w:val="007D4FC6"/>
    <w:rsid w:val="007D546F"/>
    <w:rsid w:val="007D6415"/>
    <w:rsid w:val="007D6DAD"/>
    <w:rsid w:val="007E0CF4"/>
    <w:rsid w:val="007E1664"/>
    <w:rsid w:val="007E20C6"/>
    <w:rsid w:val="007E50EB"/>
    <w:rsid w:val="007E6CCC"/>
    <w:rsid w:val="007F2334"/>
    <w:rsid w:val="007F2AE9"/>
    <w:rsid w:val="007F2B76"/>
    <w:rsid w:val="007F2E50"/>
    <w:rsid w:val="007F3D6B"/>
    <w:rsid w:val="007F7080"/>
    <w:rsid w:val="00802013"/>
    <w:rsid w:val="0080683B"/>
    <w:rsid w:val="00810525"/>
    <w:rsid w:val="008115FE"/>
    <w:rsid w:val="00812150"/>
    <w:rsid w:val="008143A5"/>
    <w:rsid w:val="008157CB"/>
    <w:rsid w:val="008168BA"/>
    <w:rsid w:val="00817077"/>
    <w:rsid w:val="0081783D"/>
    <w:rsid w:val="0082373A"/>
    <w:rsid w:val="00824602"/>
    <w:rsid w:val="00824906"/>
    <w:rsid w:val="00824A44"/>
    <w:rsid w:val="00824B7C"/>
    <w:rsid w:val="0082623A"/>
    <w:rsid w:val="00832998"/>
    <w:rsid w:val="00834F46"/>
    <w:rsid w:val="0083545E"/>
    <w:rsid w:val="00837831"/>
    <w:rsid w:val="008379F4"/>
    <w:rsid w:val="00841121"/>
    <w:rsid w:val="00841B63"/>
    <w:rsid w:val="00842C4E"/>
    <w:rsid w:val="008443DD"/>
    <w:rsid w:val="0084521C"/>
    <w:rsid w:val="008478F8"/>
    <w:rsid w:val="008528D0"/>
    <w:rsid w:val="00855EB0"/>
    <w:rsid w:val="008564D8"/>
    <w:rsid w:val="008570FA"/>
    <w:rsid w:val="008610DC"/>
    <w:rsid w:val="00861D44"/>
    <w:rsid w:val="0086724A"/>
    <w:rsid w:val="0086785A"/>
    <w:rsid w:val="0087659C"/>
    <w:rsid w:val="00876615"/>
    <w:rsid w:val="00881333"/>
    <w:rsid w:val="0088192E"/>
    <w:rsid w:val="008821A4"/>
    <w:rsid w:val="008828D1"/>
    <w:rsid w:val="00885345"/>
    <w:rsid w:val="00887AF1"/>
    <w:rsid w:val="00892E94"/>
    <w:rsid w:val="00893C66"/>
    <w:rsid w:val="008945D0"/>
    <w:rsid w:val="0089611D"/>
    <w:rsid w:val="008A0BFB"/>
    <w:rsid w:val="008A23A1"/>
    <w:rsid w:val="008A2E49"/>
    <w:rsid w:val="008B1088"/>
    <w:rsid w:val="008B15BB"/>
    <w:rsid w:val="008B2CD5"/>
    <w:rsid w:val="008B39E4"/>
    <w:rsid w:val="008B7C1B"/>
    <w:rsid w:val="008C54DA"/>
    <w:rsid w:val="008D02AD"/>
    <w:rsid w:val="008D0AEE"/>
    <w:rsid w:val="008D1499"/>
    <w:rsid w:val="008D247B"/>
    <w:rsid w:val="008D51EF"/>
    <w:rsid w:val="008D6D67"/>
    <w:rsid w:val="008E3630"/>
    <w:rsid w:val="008E3A23"/>
    <w:rsid w:val="008E4D8C"/>
    <w:rsid w:val="008E5501"/>
    <w:rsid w:val="008E58BE"/>
    <w:rsid w:val="008E7059"/>
    <w:rsid w:val="008F05EA"/>
    <w:rsid w:val="008F2124"/>
    <w:rsid w:val="008F29AE"/>
    <w:rsid w:val="009033FE"/>
    <w:rsid w:val="00904086"/>
    <w:rsid w:val="00910D03"/>
    <w:rsid w:val="00921904"/>
    <w:rsid w:val="00921983"/>
    <w:rsid w:val="00927F1D"/>
    <w:rsid w:val="00930346"/>
    <w:rsid w:val="00931356"/>
    <w:rsid w:val="0093257D"/>
    <w:rsid w:val="0093348C"/>
    <w:rsid w:val="009362CB"/>
    <w:rsid w:val="009379EA"/>
    <w:rsid w:val="00942BA7"/>
    <w:rsid w:val="00943ED6"/>
    <w:rsid w:val="00946A53"/>
    <w:rsid w:val="00946DAF"/>
    <w:rsid w:val="00955B8E"/>
    <w:rsid w:val="009638AC"/>
    <w:rsid w:val="00966457"/>
    <w:rsid w:val="0096747C"/>
    <w:rsid w:val="00984FC3"/>
    <w:rsid w:val="00985E99"/>
    <w:rsid w:val="00986DD5"/>
    <w:rsid w:val="00987943"/>
    <w:rsid w:val="00987E94"/>
    <w:rsid w:val="00990A46"/>
    <w:rsid w:val="009930C2"/>
    <w:rsid w:val="00995B66"/>
    <w:rsid w:val="009A0F49"/>
    <w:rsid w:val="009A5165"/>
    <w:rsid w:val="009A5170"/>
    <w:rsid w:val="009C0873"/>
    <w:rsid w:val="009C7ABA"/>
    <w:rsid w:val="009D207C"/>
    <w:rsid w:val="009D4275"/>
    <w:rsid w:val="009D5D22"/>
    <w:rsid w:val="009D62EA"/>
    <w:rsid w:val="009E0FDC"/>
    <w:rsid w:val="009E22F6"/>
    <w:rsid w:val="009E5F13"/>
    <w:rsid w:val="009E6E2F"/>
    <w:rsid w:val="009F48BA"/>
    <w:rsid w:val="009F595A"/>
    <w:rsid w:val="009F5ADE"/>
    <w:rsid w:val="009F659B"/>
    <w:rsid w:val="00A00EBA"/>
    <w:rsid w:val="00A0193F"/>
    <w:rsid w:val="00A02CD4"/>
    <w:rsid w:val="00A038C5"/>
    <w:rsid w:val="00A04B22"/>
    <w:rsid w:val="00A053BD"/>
    <w:rsid w:val="00A05C18"/>
    <w:rsid w:val="00A06D8F"/>
    <w:rsid w:val="00A07488"/>
    <w:rsid w:val="00A138AC"/>
    <w:rsid w:val="00A13DDB"/>
    <w:rsid w:val="00A1539E"/>
    <w:rsid w:val="00A15B24"/>
    <w:rsid w:val="00A1675B"/>
    <w:rsid w:val="00A170DA"/>
    <w:rsid w:val="00A244D3"/>
    <w:rsid w:val="00A257BE"/>
    <w:rsid w:val="00A30C2B"/>
    <w:rsid w:val="00A33E37"/>
    <w:rsid w:val="00A35249"/>
    <w:rsid w:val="00A40FA7"/>
    <w:rsid w:val="00A42B19"/>
    <w:rsid w:val="00A43AC5"/>
    <w:rsid w:val="00A4535F"/>
    <w:rsid w:val="00A51A05"/>
    <w:rsid w:val="00A53E84"/>
    <w:rsid w:val="00A543A0"/>
    <w:rsid w:val="00A578BB"/>
    <w:rsid w:val="00A6043F"/>
    <w:rsid w:val="00A60DAA"/>
    <w:rsid w:val="00A61EAC"/>
    <w:rsid w:val="00A62271"/>
    <w:rsid w:val="00A624F8"/>
    <w:rsid w:val="00A62AC6"/>
    <w:rsid w:val="00A62D84"/>
    <w:rsid w:val="00A70AA6"/>
    <w:rsid w:val="00A72825"/>
    <w:rsid w:val="00A72E6F"/>
    <w:rsid w:val="00A74B9A"/>
    <w:rsid w:val="00A760AC"/>
    <w:rsid w:val="00A76B23"/>
    <w:rsid w:val="00A7773A"/>
    <w:rsid w:val="00A821C9"/>
    <w:rsid w:val="00A832D9"/>
    <w:rsid w:val="00A83699"/>
    <w:rsid w:val="00A85AA2"/>
    <w:rsid w:val="00A87C9A"/>
    <w:rsid w:val="00A90228"/>
    <w:rsid w:val="00A902C9"/>
    <w:rsid w:val="00A90C51"/>
    <w:rsid w:val="00A92172"/>
    <w:rsid w:val="00A926EF"/>
    <w:rsid w:val="00A95CC5"/>
    <w:rsid w:val="00AA1FB7"/>
    <w:rsid w:val="00AA2E66"/>
    <w:rsid w:val="00AA426B"/>
    <w:rsid w:val="00AA54B0"/>
    <w:rsid w:val="00AB3775"/>
    <w:rsid w:val="00AB5552"/>
    <w:rsid w:val="00AB65E7"/>
    <w:rsid w:val="00AC3D95"/>
    <w:rsid w:val="00AC6C8B"/>
    <w:rsid w:val="00AD4133"/>
    <w:rsid w:val="00AD5B0C"/>
    <w:rsid w:val="00AD6835"/>
    <w:rsid w:val="00AE0128"/>
    <w:rsid w:val="00AE328D"/>
    <w:rsid w:val="00AE4C32"/>
    <w:rsid w:val="00AE4EDA"/>
    <w:rsid w:val="00AE50F2"/>
    <w:rsid w:val="00AE680E"/>
    <w:rsid w:val="00AF0A96"/>
    <w:rsid w:val="00AF3544"/>
    <w:rsid w:val="00AF509B"/>
    <w:rsid w:val="00B03CC3"/>
    <w:rsid w:val="00B06093"/>
    <w:rsid w:val="00B0682E"/>
    <w:rsid w:val="00B10EF6"/>
    <w:rsid w:val="00B166BA"/>
    <w:rsid w:val="00B23970"/>
    <w:rsid w:val="00B25E39"/>
    <w:rsid w:val="00B316DD"/>
    <w:rsid w:val="00B31FF0"/>
    <w:rsid w:val="00B377DB"/>
    <w:rsid w:val="00B40443"/>
    <w:rsid w:val="00B42EFB"/>
    <w:rsid w:val="00B43C06"/>
    <w:rsid w:val="00B4688E"/>
    <w:rsid w:val="00B470F9"/>
    <w:rsid w:val="00B51AEA"/>
    <w:rsid w:val="00B531E4"/>
    <w:rsid w:val="00B53670"/>
    <w:rsid w:val="00B53863"/>
    <w:rsid w:val="00B555F7"/>
    <w:rsid w:val="00B61940"/>
    <w:rsid w:val="00B707EB"/>
    <w:rsid w:val="00B748DF"/>
    <w:rsid w:val="00B74A23"/>
    <w:rsid w:val="00B75718"/>
    <w:rsid w:val="00B76511"/>
    <w:rsid w:val="00B81D3C"/>
    <w:rsid w:val="00B93243"/>
    <w:rsid w:val="00B95784"/>
    <w:rsid w:val="00B9596C"/>
    <w:rsid w:val="00B9622C"/>
    <w:rsid w:val="00B97E61"/>
    <w:rsid w:val="00BB2C82"/>
    <w:rsid w:val="00BB3365"/>
    <w:rsid w:val="00BB7AE0"/>
    <w:rsid w:val="00BC0C41"/>
    <w:rsid w:val="00BC27E4"/>
    <w:rsid w:val="00BC4D25"/>
    <w:rsid w:val="00BC6E14"/>
    <w:rsid w:val="00BD1E8D"/>
    <w:rsid w:val="00BD4BB7"/>
    <w:rsid w:val="00BE0296"/>
    <w:rsid w:val="00BF0FC8"/>
    <w:rsid w:val="00BF25DE"/>
    <w:rsid w:val="00BF4A46"/>
    <w:rsid w:val="00BF6283"/>
    <w:rsid w:val="00C012D2"/>
    <w:rsid w:val="00C01668"/>
    <w:rsid w:val="00C02469"/>
    <w:rsid w:val="00C075C0"/>
    <w:rsid w:val="00C1137E"/>
    <w:rsid w:val="00C1215E"/>
    <w:rsid w:val="00C137F2"/>
    <w:rsid w:val="00C1603D"/>
    <w:rsid w:val="00C169FA"/>
    <w:rsid w:val="00C20AE7"/>
    <w:rsid w:val="00C22F39"/>
    <w:rsid w:val="00C26284"/>
    <w:rsid w:val="00C27DCD"/>
    <w:rsid w:val="00C306FC"/>
    <w:rsid w:val="00C32C15"/>
    <w:rsid w:val="00C33CEF"/>
    <w:rsid w:val="00C40090"/>
    <w:rsid w:val="00C4038C"/>
    <w:rsid w:val="00C52C1E"/>
    <w:rsid w:val="00C53D12"/>
    <w:rsid w:val="00C53DC0"/>
    <w:rsid w:val="00C57CF7"/>
    <w:rsid w:val="00C57DEC"/>
    <w:rsid w:val="00C6359B"/>
    <w:rsid w:val="00C715C4"/>
    <w:rsid w:val="00C72777"/>
    <w:rsid w:val="00C74E61"/>
    <w:rsid w:val="00C76A68"/>
    <w:rsid w:val="00C8288D"/>
    <w:rsid w:val="00C84A25"/>
    <w:rsid w:val="00C85586"/>
    <w:rsid w:val="00C858EE"/>
    <w:rsid w:val="00C87506"/>
    <w:rsid w:val="00C9490B"/>
    <w:rsid w:val="00C95BED"/>
    <w:rsid w:val="00C96665"/>
    <w:rsid w:val="00CA0568"/>
    <w:rsid w:val="00CA186C"/>
    <w:rsid w:val="00CA3451"/>
    <w:rsid w:val="00CA3BE3"/>
    <w:rsid w:val="00CB1C45"/>
    <w:rsid w:val="00CB1E06"/>
    <w:rsid w:val="00CB21F1"/>
    <w:rsid w:val="00CB4E0E"/>
    <w:rsid w:val="00CB61F1"/>
    <w:rsid w:val="00CB7424"/>
    <w:rsid w:val="00CB7715"/>
    <w:rsid w:val="00CC2373"/>
    <w:rsid w:val="00CC33DE"/>
    <w:rsid w:val="00CC453C"/>
    <w:rsid w:val="00CD04F2"/>
    <w:rsid w:val="00CD5A9E"/>
    <w:rsid w:val="00CE09AD"/>
    <w:rsid w:val="00CE1CF4"/>
    <w:rsid w:val="00CE3778"/>
    <w:rsid w:val="00CE39F1"/>
    <w:rsid w:val="00CE6CDA"/>
    <w:rsid w:val="00CE769A"/>
    <w:rsid w:val="00CF0BDC"/>
    <w:rsid w:val="00CF5131"/>
    <w:rsid w:val="00CF5C04"/>
    <w:rsid w:val="00D001EB"/>
    <w:rsid w:val="00D00C56"/>
    <w:rsid w:val="00D01458"/>
    <w:rsid w:val="00D04A1E"/>
    <w:rsid w:val="00D12F8B"/>
    <w:rsid w:val="00D1495C"/>
    <w:rsid w:val="00D14D4F"/>
    <w:rsid w:val="00D1607D"/>
    <w:rsid w:val="00D17EB1"/>
    <w:rsid w:val="00D20563"/>
    <w:rsid w:val="00D20D80"/>
    <w:rsid w:val="00D21499"/>
    <w:rsid w:val="00D23A9B"/>
    <w:rsid w:val="00D240E1"/>
    <w:rsid w:val="00D25827"/>
    <w:rsid w:val="00D259AB"/>
    <w:rsid w:val="00D2717A"/>
    <w:rsid w:val="00D35E80"/>
    <w:rsid w:val="00D40AB8"/>
    <w:rsid w:val="00D40D29"/>
    <w:rsid w:val="00D40F88"/>
    <w:rsid w:val="00D4443D"/>
    <w:rsid w:val="00D46A2C"/>
    <w:rsid w:val="00D477BF"/>
    <w:rsid w:val="00D507CA"/>
    <w:rsid w:val="00D51736"/>
    <w:rsid w:val="00D519F7"/>
    <w:rsid w:val="00D521F2"/>
    <w:rsid w:val="00D52A8B"/>
    <w:rsid w:val="00D545E5"/>
    <w:rsid w:val="00D54A1F"/>
    <w:rsid w:val="00D66F96"/>
    <w:rsid w:val="00D71BA4"/>
    <w:rsid w:val="00D73900"/>
    <w:rsid w:val="00D7549B"/>
    <w:rsid w:val="00D76558"/>
    <w:rsid w:val="00D76626"/>
    <w:rsid w:val="00D8304C"/>
    <w:rsid w:val="00D83865"/>
    <w:rsid w:val="00D85147"/>
    <w:rsid w:val="00D872BE"/>
    <w:rsid w:val="00D902A7"/>
    <w:rsid w:val="00DA35C0"/>
    <w:rsid w:val="00DA5CB6"/>
    <w:rsid w:val="00DB0CF3"/>
    <w:rsid w:val="00DB3E5A"/>
    <w:rsid w:val="00DB4CC8"/>
    <w:rsid w:val="00DB5C4B"/>
    <w:rsid w:val="00DB7CF3"/>
    <w:rsid w:val="00DC0681"/>
    <w:rsid w:val="00DC249C"/>
    <w:rsid w:val="00DC2FF9"/>
    <w:rsid w:val="00DC6EAE"/>
    <w:rsid w:val="00DD4335"/>
    <w:rsid w:val="00DD7031"/>
    <w:rsid w:val="00DE0C13"/>
    <w:rsid w:val="00DE299B"/>
    <w:rsid w:val="00DE2F70"/>
    <w:rsid w:val="00DE4483"/>
    <w:rsid w:val="00DE4803"/>
    <w:rsid w:val="00DF0F54"/>
    <w:rsid w:val="00DF682A"/>
    <w:rsid w:val="00E009C7"/>
    <w:rsid w:val="00E00B41"/>
    <w:rsid w:val="00E011D5"/>
    <w:rsid w:val="00E01F4D"/>
    <w:rsid w:val="00E06808"/>
    <w:rsid w:val="00E07B76"/>
    <w:rsid w:val="00E1016F"/>
    <w:rsid w:val="00E12BD8"/>
    <w:rsid w:val="00E13B15"/>
    <w:rsid w:val="00E1668B"/>
    <w:rsid w:val="00E212A8"/>
    <w:rsid w:val="00E218C6"/>
    <w:rsid w:val="00E21E52"/>
    <w:rsid w:val="00E25247"/>
    <w:rsid w:val="00E31C8E"/>
    <w:rsid w:val="00E3320C"/>
    <w:rsid w:val="00E336EF"/>
    <w:rsid w:val="00E361FA"/>
    <w:rsid w:val="00E36653"/>
    <w:rsid w:val="00E36D8F"/>
    <w:rsid w:val="00E416B1"/>
    <w:rsid w:val="00E42C52"/>
    <w:rsid w:val="00E4370E"/>
    <w:rsid w:val="00E456D1"/>
    <w:rsid w:val="00E46F6D"/>
    <w:rsid w:val="00E503F9"/>
    <w:rsid w:val="00E50EDE"/>
    <w:rsid w:val="00E51741"/>
    <w:rsid w:val="00E5188D"/>
    <w:rsid w:val="00E53367"/>
    <w:rsid w:val="00E56CCA"/>
    <w:rsid w:val="00E6194B"/>
    <w:rsid w:val="00E61FB9"/>
    <w:rsid w:val="00E62890"/>
    <w:rsid w:val="00E62C1E"/>
    <w:rsid w:val="00E663CE"/>
    <w:rsid w:val="00E71597"/>
    <w:rsid w:val="00E720C1"/>
    <w:rsid w:val="00E7264A"/>
    <w:rsid w:val="00E748FA"/>
    <w:rsid w:val="00E7786F"/>
    <w:rsid w:val="00E81CB1"/>
    <w:rsid w:val="00E8350E"/>
    <w:rsid w:val="00E84266"/>
    <w:rsid w:val="00E8433C"/>
    <w:rsid w:val="00E84F49"/>
    <w:rsid w:val="00E91581"/>
    <w:rsid w:val="00E917BF"/>
    <w:rsid w:val="00E94018"/>
    <w:rsid w:val="00E94F6D"/>
    <w:rsid w:val="00EA0F14"/>
    <w:rsid w:val="00EA1FCD"/>
    <w:rsid w:val="00EA387B"/>
    <w:rsid w:val="00EA3FBC"/>
    <w:rsid w:val="00EA4622"/>
    <w:rsid w:val="00EB0E18"/>
    <w:rsid w:val="00EB4954"/>
    <w:rsid w:val="00EB5A94"/>
    <w:rsid w:val="00EB7059"/>
    <w:rsid w:val="00EC329E"/>
    <w:rsid w:val="00EC6067"/>
    <w:rsid w:val="00EC6FE2"/>
    <w:rsid w:val="00ED062B"/>
    <w:rsid w:val="00ED2952"/>
    <w:rsid w:val="00ED3BE8"/>
    <w:rsid w:val="00ED49AA"/>
    <w:rsid w:val="00ED4C0B"/>
    <w:rsid w:val="00ED6BCB"/>
    <w:rsid w:val="00EE1695"/>
    <w:rsid w:val="00EE2811"/>
    <w:rsid w:val="00EE3784"/>
    <w:rsid w:val="00EE42A9"/>
    <w:rsid w:val="00EE52FE"/>
    <w:rsid w:val="00EE59A7"/>
    <w:rsid w:val="00EE7963"/>
    <w:rsid w:val="00EF0C6D"/>
    <w:rsid w:val="00EF1F24"/>
    <w:rsid w:val="00EF2AF4"/>
    <w:rsid w:val="00EF344C"/>
    <w:rsid w:val="00F01565"/>
    <w:rsid w:val="00F02AF6"/>
    <w:rsid w:val="00F02B47"/>
    <w:rsid w:val="00F037EA"/>
    <w:rsid w:val="00F03955"/>
    <w:rsid w:val="00F04415"/>
    <w:rsid w:val="00F04BF0"/>
    <w:rsid w:val="00F05520"/>
    <w:rsid w:val="00F05DA9"/>
    <w:rsid w:val="00F10DD0"/>
    <w:rsid w:val="00F1151F"/>
    <w:rsid w:val="00F11AE4"/>
    <w:rsid w:val="00F15259"/>
    <w:rsid w:val="00F153BD"/>
    <w:rsid w:val="00F17AA2"/>
    <w:rsid w:val="00F20723"/>
    <w:rsid w:val="00F23148"/>
    <w:rsid w:val="00F24D2D"/>
    <w:rsid w:val="00F31C7A"/>
    <w:rsid w:val="00F3234E"/>
    <w:rsid w:val="00F346C5"/>
    <w:rsid w:val="00F34E2E"/>
    <w:rsid w:val="00F37369"/>
    <w:rsid w:val="00F40700"/>
    <w:rsid w:val="00F41D68"/>
    <w:rsid w:val="00F422F9"/>
    <w:rsid w:val="00F44270"/>
    <w:rsid w:val="00F44B68"/>
    <w:rsid w:val="00F46A68"/>
    <w:rsid w:val="00F55A36"/>
    <w:rsid w:val="00F6004D"/>
    <w:rsid w:val="00F62636"/>
    <w:rsid w:val="00F63CE2"/>
    <w:rsid w:val="00F66F1F"/>
    <w:rsid w:val="00F713E9"/>
    <w:rsid w:val="00F7241C"/>
    <w:rsid w:val="00F727A4"/>
    <w:rsid w:val="00F741C2"/>
    <w:rsid w:val="00F7480B"/>
    <w:rsid w:val="00F759C7"/>
    <w:rsid w:val="00F75EE4"/>
    <w:rsid w:val="00F76BDB"/>
    <w:rsid w:val="00F8056B"/>
    <w:rsid w:val="00F84A83"/>
    <w:rsid w:val="00F84D34"/>
    <w:rsid w:val="00F85898"/>
    <w:rsid w:val="00F86ACA"/>
    <w:rsid w:val="00F87026"/>
    <w:rsid w:val="00F8709D"/>
    <w:rsid w:val="00F94E8C"/>
    <w:rsid w:val="00FA02F2"/>
    <w:rsid w:val="00FA0E40"/>
    <w:rsid w:val="00FA339A"/>
    <w:rsid w:val="00FA341E"/>
    <w:rsid w:val="00FA4A29"/>
    <w:rsid w:val="00FA6E21"/>
    <w:rsid w:val="00FA73E4"/>
    <w:rsid w:val="00FB543C"/>
    <w:rsid w:val="00FD09CC"/>
    <w:rsid w:val="00FD1925"/>
    <w:rsid w:val="00FD277A"/>
    <w:rsid w:val="00FD572A"/>
    <w:rsid w:val="00FD608E"/>
    <w:rsid w:val="00FE0DFE"/>
    <w:rsid w:val="00FE510B"/>
    <w:rsid w:val="00FE5A11"/>
    <w:rsid w:val="00FE7A0F"/>
    <w:rsid w:val="00FF40AD"/>
    <w:rsid w:val="00FF4845"/>
    <w:rsid w:val="00FF7326"/>
    <w:rsid w:val="39A5C4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67980"/>
  <w15:docId w15:val="{0D2B19F9-2E24-4754-AA00-01AFE1887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OSA Note Heading"/>
    <w:basedOn w:val="Normal"/>
    <w:next w:val="Normal"/>
    <w:link w:val="Heading1Char"/>
    <w:qFormat/>
    <w:rsid w:val="002B0FE3"/>
    <w:pPr>
      <w:keepNext/>
      <w:tabs>
        <w:tab w:val="left" w:pos="1080"/>
      </w:tabs>
      <w:spacing w:before="480" w:after="240" w:line="240" w:lineRule="auto"/>
      <w:outlineLvl w:val="0"/>
    </w:pPr>
    <w:rPr>
      <w:rFonts w:ascii="Arial Bold" w:eastAsia="Times New Roman" w:hAnsi="Arial Bold" w:cs="Times New Roman"/>
      <w:b/>
      <w:smallCaps/>
      <w:kern w:val="28"/>
      <w:szCs w:val="20"/>
    </w:rPr>
  </w:style>
  <w:style w:type="paragraph" w:styleId="Heading2">
    <w:name w:val="heading 2"/>
    <w:basedOn w:val="Normal"/>
    <w:next w:val="Normal"/>
    <w:link w:val="Heading2Char"/>
    <w:qFormat/>
    <w:rsid w:val="00293054"/>
    <w:pPr>
      <w:keepLines/>
      <w:pBdr>
        <w:bottom w:val="single" w:sz="12" w:space="1" w:color="auto"/>
      </w:pBdr>
      <w:spacing w:after="600" w:line="240" w:lineRule="auto"/>
      <w:jc w:val="center"/>
      <w:outlineLvl w:val="1"/>
    </w:pPr>
    <w:rPr>
      <w:rFonts w:ascii="Arial Bold" w:eastAsia="Times New Roman" w:hAnsi="Arial Bold" w:cs="Arial"/>
      <w:b/>
      <w:smallCaps/>
      <w:sz w:val="44"/>
      <w:szCs w:val="44"/>
    </w:rPr>
  </w:style>
  <w:style w:type="paragraph" w:styleId="Heading3">
    <w:name w:val="heading 3"/>
    <w:basedOn w:val="Normal"/>
    <w:next w:val="Normal"/>
    <w:link w:val="Heading3Char"/>
    <w:qFormat/>
    <w:rsid w:val="00293054"/>
    <w:pPr>
      <w:spacing w:after="0" w:line="240" w:lineRule="auto"/>
      <w:jc w:val="center"/>
      <w:outlineLvl w:val="2"/>
    </w:pPr>
    <w:rPr>
      <w:rFonts w:ascii="Arial Bold" w:eastAsia="Times New Roman" w:hAnsi="Arial Bold" w:cs="Arial"/>
      <w:b/>
      <w:smallCaps/>
      <w:sz w:val="96"/>
      <w:szCs w:val="96"/>
      <w14:shadow w14:blurRad="50800" w14:dist="38100" w14:dir="5400000" w14:sx="100000" w14:sy="100000" w14:kx="0" w14:ky="0" w14:algn="t">
        <w14:srgbClr w14:val="000000">
          <w14:alpha w14:val="60000"/>
        </w14:srgbClr>
      </w14:shadow>
    </w:rPr>
  </w:style>
  <w:style w:type="paragraph" w:styleId="Heading4">
    <w:name w:val="heading 4"/>
    <w:basedOn w:val="Normal"/>
    <w:next w:val="Normal"/>
    <w:link w:val="Heading4Char"/>
    <w:qFormat/>
    <w:rsid w:val="00841121"/>
    <w:pPr>
      <w:keepNext/>
      <w:tabs>
        <w:tab w:val="right" w:pos="8928"/>
      </w:tabs>
      <w:spacing w:after="240" w:line="240" w:lineRule="auto"/>
      <w:ind w:left="720" w:right="1440"/>
      <w:outlineLvl w:val="3"/>
    </w:pPr>
    <w:rPr>
      <w:rFonts w:ascii="Times New Roman" w:eastAsia="Times New Roman" w:hAnsi="Times New Roman" w:cs="Times New Roman"/>
      <w:sz w:val="20"/>
      <w:szCs w:val="20"/>
    </w:rPr>
  </w:style>
  <w:style w:type="paragraph" w:styleId="Heading5">
    <w:name w:val="heading 5"/>
    <w:basedOn w:val="Normal"/>
    <w:next w:val="Normal"/>
    <w:link w:val="Heading5Char"/>
    <w:qFormat/>
    <w:rsid w:val="00841121"/>
    <w:pPr>
      <w:keepNext/>
      <w:spacing w:after="0" w:line="240" w:lineRule="auto"/>
      <w:jc w:val="center"/>
      <w:outlineLvl w:val="4"/>
    </w:pPr>
    <w:rPr>
      <w:rFonts w:ascii="Times New Roman" w:eastAsia="Times New Roman" w:hAnsi="Times New Roman" w:cs="Times New Roman"/>
      <w:snapToGrid w:val="0"/>
      <w:color w:val="000000"/>
      <w:sz w:val="20"/>
      <w:szCs w:val="20"/>
      <w:u w:val="single"/>
    </w:rPr>
  </w:style>
  <w:style w:type="paragraph" w:styleId="Heading6">
    <w:name w:val="heading 6"/>
    <w:basedOn w:val="Normal"/>
    <w:next w:val="Normal"/>
    <w:link w:val="Heading6Char"/>
    <w:qFormat/>
    <w:rsid w:val="00841121"/>
    <w:pPr>
      <w:keepNext/>
      <w:tabs>
        <w:tab w:val="left" w:pos="8520"/>
      </w:tabs>
      <w:spacing w:after="360" w:line="240" w:lineRule="auto"/>
      <w:jc w:val="right"/>
      <w:outlineLvl w:val="5"/>
    </w:pPr>
    <w:rPr>
      <w:rFonts w:ascii="Times New Roman" w:eastAsia="Times New Roman" w:hAnsi="Times New Roman" w:cs="Times New Roman"/>
      <w:smallCaps/>
      <w:sz w:val="24"/>
      <w:szCs w:val="20"/>
    </w:rPr>
  </w:style>
  <w:style w:type="paragraph" w:styleId="Heading7">
    <w:name w:val="heading 7"/>
    <w:basedOn w:val="Normal"/>
    <w:next w:val="Normal"/>
    <w:link w:val="Heading7Char"/>
    <w:unhideWhenUsed/>
    <w:qFormat/>
    <w:rsid w:val="00841121"/>
    <w:pPr>
      <w:spacing w:before="240" w:after="60" w:line="240" w:lineRule="auto"/>
      <w:outlineLvl w:val="6"/>
    </w:pPr>
    <w:rPr>
      <w:rFonts w:ascii="Calibri" w:eastAsia="Times New Roman" w:hAnsi="Calibri" w:cs="Times New Roman"/>
      <w:sz w:val="24"/>
      <w:szCs w:val="24"/>
    </w:rPr>
  </w:style>
  <w:style w:type="paragraph" w:styleId="Heading9">
    <w:name w:val="heading 9"/>
    <w:basedOn w:val="Normal"/>
    <w:next w:val="Normal"/>
    <w:link w:val="Heading9Char"/>
    <w:qFormat/>
    <w:rsid w:val="00841121"/>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07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778"/>
  </w:style>
  <w:style w:type="paragraph" w:styleId="Header">
    <w:name w:val="header"/>
    <w:basedOn w:val="Normal"/>
    <w:link w:val="HeaderChar"/>
    <w:unhideWhenUsed/>
    <w:rsid w:val="007607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778"/>
  </w:style>
  <w:style w:type="paragraph" w:styleId="Subtitle">
    <w:name w:val="Subtitle"/>
    <w:basedOn w:val="Normal"/>
    <w:next w:val="Normal"/>
    <w:link w:val="SubtitleChar"/>
    <w:uiPriority w:val="11"/>
    <w:qFormat/>
    <w:rsid w:val="0076077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60778"/>
    <w:rPr>
      <w:rFonts w:asciiTheme="majorHAnsi" w:eastAsiaTheme="majorEastAsia" w:hAnsiTheme="majorHAnsi" w:cstheme="majorBidi"/>
      <w:i/>
      <w:iCs/>
      <w:color w:val="4F81BD" w:themeColor="accent1"/>
      <w:spacing w:val="15"/>
      <w:sz w:val="24"/>
      <w:szCs w:val="24"/>
    </w:rPr>
  </w:style>
  <w:style w:type="paragraph" w:customStyle="1" w:styleId="CENTEREDUNDERLINED">
    <w:name w:val="CENTERED UNDERLINED"/>
    <w:rsid w:val="00760778"/>
    <w:pPr>
      <w:spacing w:after="240" w:line="240" w:lineRule="exact"/>
      <w:jc w:val="center"/>
    </w:pPr>
    <w:rPr>
      <w:rFonts w:ascii="Univers (W1)" w:eastAsia="Times New Roman" w:hAnsi="Univers (W1)" w:cs="Times New Roman"/>
      <w:sz w:val="20"/>
      <w:szCs w:val="20"/>
      <w:u w:val="single"/>
    </w:rPr>
  </w:style>
  <w:style w:type="character" w:styleId="PageNumber">
    <w:name w:val="page number"/>
    <w:basedOn w:val="DefaultParagraphFont"/>
    <w:rsid w:val="00760778"/>
  </w:style>
  <w:style w:type="paragraph" w:styleId="BalloonText">
    <w:name w:val="Balloon Text"/>
    <w:basedOn w:val="Normal"/>
    <w:link w:val="BalloonTextChar"/>
    <w:unhideWhenUsed/>
    <w:rsid w:val="007607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60778"/>
    <w:rPr>
      <w:rFonts w:ascii="Tahoma" w:hAnsi="Tahoma" w:cs="Tahoma"/>
      <w:sz w:val="16"/>
      <w:szCs w:val="16"/>
    </w:rPr>
  </w:style>
  <w:style w:type="character" w:customStyle="1" w:styleId="Heading1Char">
    <w:name w:val="Heading 1 Char"/>
    <w:aliases w:val="OSA Note Heading Char"/>
    <w:basedOn w:val="DefaultParagraphFont"/>
    <w:link w:val="Heading1"/>
    <w:rsid w:val="002B0FE3"/>
    <w:rPr>
      <w:rFonts w:ascii="Arial Bold" w:eastAsia="Times New Roman" w:hAnsi="Arial Bold" w:cs="Times New Roman"/>
      <w:b/>
      <w:smallCaps/>
      <w:kern w:val="28"/>
      <w:szCs w:val="20"/>
    </w:rPr>
  </w:style>
  <w:style w:type="character" w:customStyle="1" w:styleId="Heading2Char">
    <w:name w:val="Heading 2 Char"/>
    <w:basedOn w:val="DefaultParagraphFont"/>
    <w:link w:val="Heading2"/>
    <w:rsid w:val="00293054"/>
    <w:rPr>
      <w:rFonts w:ascii="Arial Bold" w:eastAsia="Times New Roman" w:hAnsi="Arial Bold" w:cs="Arial"/>
      <w:b/>
      <w:smallCaps/>
      <w:sz w:val="44"/>
      <w:szCs w:val="44"/>
    </w:rPr>
  </w:style>
  <w:style w:type="character" w:customStyle="1" w:styleId="Heading3Char">
    <w:name w:val="Heading 3 Char"/>
    <w:basedOn w:val="DefaultParagraphFont"/>
    <w:link w:val="Heading3"/>
    <w:rsid w:val="00293054"/>
    <w:rPr>
      <w:rFonts w:ascii="Arial Bold" w:eastAsia="Times New Roman" w:hAnsi="Arial Bold" w:cs="Arial"/>
      <w:b/>
      <w:smallCaps/>
      <w:sz w:val="96"/>
      <w:szCs w:val="96"/>
      <w14:shadow w14:blurRad="50800" w14:dist="38100" w14:dir="5400000" w14:sx="100000" w14:sy="100000" w14:kx="0" w14:ky="0" w14:algn="t">
        <w14:srgbClr w14:val="000000">
          <w14:alpha w14:val="60000"/>
        </w14:srgbClr>
      </w14:shadow>
    </w:rPr>
  </w:style>
  <w:style w:type="character" w:customStyle="1" w:styleId="Heading4Char">
    <w:name w:val="Heading 4 Char"/>
    <w:basedOn w:val="DefaultParagraphFont"/>
    <w:link w:val="Heading4"/>
    <w:rsid w:val="00841121"/>
    <w:rPr>
      <w:rFonts w:ascii="Times New Roman" w:eastAsia="Times New Roman" w:hAnsi="Times New Roman" w:cs="Times New Roman"/>
      <w:sz w:val="20"/>
      <w:szCs w:val="20"/>
    </w:rPr>
  </w:style>
  <w:style w:type="character" w:customStyle="1" w:styleId="Heading5Char">
    <w:name w:val="Heading 5 Char"/>
    <w:basedOn w:val="DefaultParagraphFont"/>
    <w:link w:val="Heading5"/>
    <w:rsid w:val="00841121"/>
    <w:rPr>
      <w:rFonts w:ascii="Times New Roman" w:eastAsia="Times New Roman" w:hAnsi="Times New Roman" w:cs="Times New Roman"/>
      <w:snapToGrid w:val="0"/>
      <w:color w:val="000000"/>
      <w:sz w:val="20"/>
      <w:szCs w:val="20"/>
      <w:u w:val="single"/>
    </w:rPr>
  </w:style>
  <w:style w:type="character" w:customStyle="1" w:styleId="Heading6Char">
    <w:name w:val="Heading 6 Char"/>
    <w:basedOn w:val="DefaultParagraphFont"/>
    <w:link w:val="Heading6"/>
    <w:rsid w:val="00841121"/>
    <w:rPr>
      <w:rFonts w:ascii="Times New Roman" w:eastAsia="Times New Roman" w:hAnsi="Times New Roman" w:cs="Times New Roman"/>
      <w:smallCaps/>
      <w:sz w:val="24"/>
      <w:szCs w:val="20"/>
    </w:rPr>
  </w:style>
  <w:style w:type="character" w:customStyle="1" w:styleId="Heading7Char">
    <w:name w:val="Heading 7 Char"/>
    <w:basedOn w:val="DefaultParagraphFont"/>
    <w:link w:val="Heading7"/>
    <w:rsid w:val="00841121"/>
    <w:rPr>
      <w:rFonts w:ascii="Calibri" w:eastAsia="Times New Roman" w:hAnsi="Calibri" w:cs="Times New Roman"/>
      <w:sz w:val="24"/>
      <w:szCs w:val="24"/>
    </w:rPr>
  </w:style>
  <w:style w:type="character" w:customStyle="1" w:styleId="Heading9Char">
    <w:name w:val="Heading 9 Char"/>
    <w:basedOn w:val="DefaultParagraphFont"/>
    <w:link w:val="Heading9"/>
    <w:rsid w:val="00841121"/>
    <w:rPr>
      <w:rFonts w:ascii="Arial" w:eastAsia="Times New Roman" w:hAnsi="Arial" w:cs="Arial"/>
    </w:rPr>
  </w:style>
  <w:style w:type="numbering" w:customStyle="1" w:styleId="NoList1">
    <w:name w:val="No List1"/>
    <w:next w:val="NoList"/>
    <w:uiPriority w:val="99"/>
    <w:semiHidden/>
    <w:unhideWhenUsed/>
    <w:rsid w:val="00841121"/>
  </w:style>
  <w:style w:type="paragraph" w:customStyle="1" w:styleId="123">
    <w:name w:val="123"/>
    <w:basedOn w:val="Normal"/>
    <w:rsid w:val="00841121"/>
    <w:pPr>
      <w:tabs>
        <w:tab w:val="left" w:pos="1728"/>
      </w:tabs>
      <w:spacing w:before="120" w:after="240" w:line="240" w:lineRule="auto"/>
      <w:ind w:left="432" w:hanging="432"/>
      <w:jc w:val="both"/>
    </w:pPr>
    <w:rPr>
      <w:rFonts w:ascii="Times New Roman" w:eastAsia="Times New Roman" w:hAnsi="Times New Roman" w:cs="Times New Roman"/>
      <w:smallCaps/>
      <w:sz w:val="24"/>
      <w:szCs w:val="20"/>
    </w:rPr>
  </w:style>
  <w:style w:type="paragraph" w:customStyle="1" w:styleId="FLUSHLEFT">
    <w:name w:val="FLUSH LEFT"/>
    <w:rsid w:val="00841121"/>
    <w:pPr>
      <w:spacing w:after="480" w:line="240" w:lineRule="auto"/>
    </w:pPr>
    <w:rPr>
      <w:rFonts w:ascii="Times New Roman" w:eastAsia="Times New Roman" w:hAnsi="Times New Roman" w:cs="Times New Roman"/>
      <w:sz w:val="24"/>
      <w:szCs w:val="20"/>
    </w:rPr>
  </w:style>
  <w:style w:type="paragraph" w:customStyle="1" w:styleId="CENTERED">
    <w:name w:val="CENTERED"/>
    <w:rsid w:val="00841121"/>
    <w:pPr>
      <w:spacing w:after="240" w:line="240" w:lineRule="exact"/>
      <w:jc w:val="center"/>
    </w:pPr>
    <w:rPr>
      <w:rFonts w:ascii="Univers (W1)" w:eastAsia="Times New Roman" w:hAnsi="Univers (W1)" w:cs="Times New Roman"/>
      <w:sz w:val="20"/>
      <w:szCs w:val="20"/>
    </w:rPr>
  </w:style>
  <w:style w:type="paragraph" w:styleId="Date">
    <w:name w:val="Date"/>
    <w:basedOn w:val="Normal"/>
    <w:link w:val="DateChar"/>
    <w:rsid w:val="00841121"/>
    <w:pPr>
      <w:spacing w:after="0" w:line="240" w:lineRule="auto"/>
    </w:pPr>
    <w:rPr>
      <w:rFonts w:ascii="Times New Roman" w:eastAsia="Times New Roman" w:hAnsi="Times New Roman" w:cs="Times New Roman"/>
      <w:sz w:val="24"/>
      <w:szCs w:val="20"/>
    </w:rPr>
  </w:style>
  <w:style w:type="character" w:customStyle="1" w:styleId="DateChar">
    <w:name w:val="Date Char"/>
    <w:basedOn w:val="DefaultParagraphFont"/>
    <w:link w:val="Date"/>
    <w:rsid w:val="00841121"/>
    <w:rPr>
      <w:rFonts w:ascii="Times New Roman" w:eastAsia="Times New Roman" w:hAnsi="Times New Roman" w:cs="Times New Roman"/>
      <w:sz w:val="24"/>
      <w:szCs w:val="20"/>
    </w:rPr>
  </w:style>
  <w:style w:type="paragraph" w:customStyle="1" w:styleId="PARAGRAPH">
    <w:name w:val="PARAGRAPH"/>
    <w:rsid w:val="00841121"/>
    <w:pPr>
      <w:spacing w:after="240" w:line="240" w:lineRule="auto"/>
      <w:jc w:val="both"/>
    </w:pPr>
    <w:rPr>
      <w:rFonts w:ascii="Times New Roman" w:eastAsia="Times New Roman" w:hAnsi="Times New Roman" w:cs="Times New Roman"/>
      <w:sz w:val="24"/>
      <w:szCs w:val="20"/>
    </w:rPr>
  </w:style>
  <w:style w:type="paragraph" w:customStyle="1" w:styleId="F-indented">
    <w:name w:val="F-indented"/>
    <w:basedOn w:val="PARAGRAPH"/>
    <w:rsid w:val="00841121"/>
    <w:pPr>
      <w:ind w:left="864" w:hanging="432"/>
    </w:pPr>
  </w:style>
  <w:style w:type="paragraph" w:customStyle="1" w:styleId="F-noindent">
    <w:name w:val="F-noindent"/>
    <w:basedOn w:val="Normal"/>
    <w:rsid w:val="00841121"/>
    <w:pPr>
      <w:spacing w:after="240" w:line="240" w:lineRule="auto"/>
      <w:ind w:left="432" w:hanging="432"/>
      <w:jc w:val="both"/>
    </w:pPr>
    <w:rPr>
      <w:rFonts w:ascii="Times New Roman" w:eastAsia="Times New Roman" w:hAnsi="Times New Roman" w:cs="Times New Roman"/>
      <w:sz w:val="24"/>
      <w:szCs w:val="20"/>
    </w:rPr>
  </w:style>
  <w:style w:type="paragraph" w:customStyle="1" w:styleId="Objective">
    <w:name w:val="Objective"/>
    <w:basedOn w:val="NOTES1A"/>
    <w:rsid w:val="00841121"/>
    <w:pPr>
      <w:ind w:left="432" w:hanging="432"/>
    </w:pPr>
  </w:style>
  <w:style w:type="paragraph" w:customStyle="1" w:styleId="NOTES1A">
    <w:name w:val="NOTES 1.A."/>
    <w:rsid w:val="00841121"/>
    <w:pPr>
      <w:tabs>
        <w:tab w:val="left" w:pos="1560"/>
      </w:tabs>
      <w:spacing w:after="240" w:line="240" w:lineRule="auto"/>
      <w:ind w:left="1915" w:hanging="475"/>
      <w:jc w:val="both"/>
    </w:pPr>
    <w:rPr>
      <w:rFonts w:ascii="Times New Roman" w:eastAsia="Times New Roman" w:hAnsi="Times New Roman" w:cs="Times New Roman"/>
      <w:sz w:val="24"/>
      <w:szCs w:val="20"/>
    </w:rPr>
  </w:style>
  <w:style w:type="paragraph" w:customStyle="1" w:styleId="Signature1">
    <w:name w:val="Signature1"/>
    <w:rsid w:val="00841121"/>
    <w:pPr>
      <w:spacing w:before="720" w:after="480" w:line="240" w:lineRule="auto"/>
    </w:pPr>
    <w:rPr>
      <w:rFonts w:ascii="Times New Roman" w:eastAsia="Times New Roman" w:hAnsi="Times New Roman" w:cs="Times New Roman"/>
      <w:sz w:val="24"/>
      <w:szCs w:val="20"/>
    </w:rPr>
  </w:style>
  <w:style w:type="paragraph" w:customStyle="1" w:styleId="PARAFLUSHUNDER1">
    <w:name w:val="PARA FLUSH UNDER 1."/>
    <w:link w:val="PARAFLUSHUNDER1Char"/>
    <w:rsid w:val="00841121"/>
    <w:pPr>
      <w:spacing w:after="240" w:line="240" w:lineRule="auto"/>
      <w:ind w:left="1440"/>
      <w:jc w:val="both"/>
    </w:pPr>
    <w:rPr>
      <w:rFonts w:ascii="Times New Roman" w:eastAsia="Times New Roman" w:hAnsi="Times New Roman" w:cs="Times New Roman"/>
      <w:sz w:val="24"/>
      <w:szCs w:val="20"/>
    </w:rPr>
  </w:style>
  <w:style w:type="paragraph" w:customStyle="1" w:styleId="PARAFLUSHUNDER1A">
    <w:name w:val="PARA FLUSH UNDER 1.A"/>
    <w:rsid w:val="00841121"/>
    <w:pPr>
      <w:spacing w:after="240" w:line="240" w:lineRule="auto"/>
      <w:ind w:left="1915"/>
      <w:jc w:val="both"/>
    </w:pPr>
    <w:rPr>
      <w:rFonts w:ascii="Times New Roman" w:eastAsia="Times New Roman" w:hAnsi="Times New Roman" w:cs="Times New Roman"/>
      <w:sz w:val="24"/>
      <w:szCs w:val="20"/>
    </w:rPr>
  </w:style>
  <w:style w:type="paragraph" w:customStyle="1" w:styleId="NOTESFIRSTLINE">
    <w:name w:val="NOTES FIRST LINE"/>
    <w:rsid w:val="00841121"/>
    <w:pPr>
      <w:tabs>
        <w:tab w:val="left" w:pos="1080"/>
        <w:tab w:val="left" w:pos="1440"/>
      </w:tabs>
      <w:spacing w:before="240" w:after="240" w:line="240" w:lineRule="auto"/>
    </w:pPr>
    <w:rPr>
      <w:rFonts w:ascii="Times New Roman" w:eastAsia="Times New Roman" w:hAnsi="Times New Roman" w:cs="Times New Roman"/>
      <w:b/>
      <w:smallCaps/>
      <w:sz w:val="24"/>
      <w:szCs w:val="20"/>
    </w:rPr>
  </w:style>
  <w:style w:type="paragraph" w:customStyle="1" w:styleId="Note10">
    <w:name w:val="Note 10"/>
    <w:basedOn w:val="NOTESFIRSTLINE"/>
    <w:rsid w:val="00841121"/>
  </w:style>
  <w:style w:type="paragraph" w:customStyle="1" w:styleId="123bullet">
    <w:name w:val="123bullet"/>
    <w:basedOn w:val="Normal"/>
    <w:rsid w:val="00841121"/>
    <w:pPr>
      <w:spacing w:after="240" w:line="240" w:lineRule="exact"/>
      <w:ind w:left="792" w:hanging="360"/>
      <w:jc w:val="both"/>
    </w:pPr>
    <w:rPr>
      <w:rFonts w:ascii="Univers (W1)" w:eastAsia="Times New Roman" w:hAnsi="Univers (W1)" w:cs="Times New Roman"/>
      <w:sz w:val="20"/>
      <w:szCs w:val="20"/>
    </w:rPr>
  </w:style>
  <w:style w:type="paragraph" w:styleId="FootnoteText">
    <w:name w:val="footnote text"/>
    <w:basedOn w:val="Normal"/>
    <w:link w:val="FootnoteTextChar"/>
    <w:semiHidden/>
    <w:rsid w:val="00841121"/>
    <w:pPr>
      <w:spacing w:after="0" w:line="240" w:lineRule="auto"/>
    </w:pPr>
    <w:rPr>
      <w:rFonts w:ascii="CG Times (W1)" w:eastAsia="Times New Roman" w:hAnsi="CG Times (W1)" w:cs="Times New Roman"/>
      <w:noProof/>
      <w:sz w:val="20"/>
      <w:szCs w:val="20"/>
    </w:rPr>
  </w:style>
  <w:style w:type="character" w:customStyle="1" w:styleId="FootnoteTextChar">
    <w:name w:val="Footnote Text Char"/>
    <w:basedOn w:val="DefaultParagraphFont"/>
    <w:link w:val="FootnoteText"/>
    <w:semiHidden/>
    <w:rsid w:val="00841121"/>
    <w:rPr>
      <w:rFonts w:ascii="CG Times (W1)" w:eastAsia="Times New Roman" w:hAnsi="CG Times (W1)" w:cs="Times New Roman"/>
      <w:noProof/>
      <w:sz w:val="20"/>
      <w:szCs w:val="20"/>
    </w:rPr>
  </w:style>
  <w:style w:type="paragraph" w:customStyle="1" w:styleId="newheading1">
    <w:name w:val="new heading1"/>
    <w:basedOn w:val="Normal"/>
    <w:rsid w:val="00841121"/>
    <w:pPr>
      <w:keepLines/>
      <w:pageBreakBefore/>
      <w:pBdr>
        <w:bottom w:val="single" w:sz="12" w:space="1" w:color="auto"/>
      </w:pBdr>
      <w:spacing w:after="720" w:line="240" w:lineRule="auto"/>
      <w:jc w:val="center"/>
    </w:pPr>
    <w:rPr>
      <w:rFonts w:ascii="Arial" w:eastAsia="Times New Roman" w:hAnsi="Arial" w:cs="Times New Roman"/>
      <w:b/>
      <w:caps/>
      <w:sz w:val="28"/>
      <w:szCs w:val="20"/>
    </w:rPr>
  </w:style>
  <w:style w:type="paragraph" w:customStyle="1" w:styleId="newheading2">
    <w:name w:val="new heading 2"/>
    <w:basedOn w:val="newheading1"/>
    <w:rsid w:val="00841121"/>
    <w:pPr>
      <w:pageBreakBefore w:val="0"/>
      <w:spacing w:before="1200" w:after="480"/>
    </w:pPr>
    <w:rPr>
      <w:sz w:val="24"/>
    </w:rPr>
  </w:style>
  <w:style w:type="paragraph" w:customStyle="1" w:styleId="ABC">
    <w:name w:val="ABC"/>
    <w:rsid w:val="00841121"/>
    <w:pPr>
      <w:spacing w:after="240" w:line="240" w:lineRule="auto"/>
      <w:ind w:left="864" w:hanging="432"/>
    </w:pPr>
    <w:rPr>
      <w:rFonts w:ascii="Times New Roman" w:eastAsia="Times New Roman" w:hAnsi="Times New Roman" w:cs="Times New Roman"/>
      <w:noProof/>
      <w:sz w:val="24"/>
      <w:szCs w:val="20"/>
    </w:rPr>
  </w:style>
  <w:style w:type="paragraph" w:customStyle="1" w:styleId="under123">
    <w:name w:val="under123"/>
    <w:rsid w:val="00841121"/>
    <w:pPr>
      <w:spacing w:after="240" w:line="240" w:lineRule="auto"/>
      <w:ind w:left="432"/>
      <w:jc w:val="both"/>
    </w:pPr>
    <w:rPr>
      <w:rFonts w:ascii="Times New Roman" w:eastAsia="Times New Roman" w:hAnsi="Times New Roman" w:cs="Times New Roman"/>
      <w:noProof/>
      <w:sz w:val="24"/>
      <w:szCs w:val="20"/>
    </w:rPr>
  </w:style>
  <w:style w:type="paragraph" w:customStyle="1" w:styleId="underABC">
    <w:name w:val="underABC"/>
    <w:rsid w:val="00841121"/>
    <w:pPr>
      <w:spacing w:after="240" w:line="240" w:lineRule="auto"/>
      <w:ind w:left="864"/>
      <w:jc w:val="both"/>
    </w:pPr>
    <w:rPr>
      <w:rFonts w:ascii="Times New Roman" w:eastAsia="Times New Roman" w:hAnsi="Times New Roman" w:cs="Times New Roman"/>
      <w:noProof/>
      <w:sz w:val="24"/>
      <w:szCs w:val="20"/>
    </w:rPr>
  </w:style>
  <w:style w:type="character" w:styleId="FootnoteReference">
    <w:name w:val="footnote reference"/>
    <w:rsid w:val="00841121"/>
    <w:rPr>
      <w:vertAlign w:val="superscript"/>
    </w:rPr>
  </w:style>
  <w:style w:type="character" w:customStyle="1" w:styleId="footnoteref">
    <w:name w:val="footnote ref"/>
    <w:rsid w:val="00841121"/>
  </w:style>
  <w:style w:type="paragraph" w:styleId="BodyText">
    <w:name w:val="Body Text"/>
    <w:basedOn w:val="Normal"/>
    <w:link w:val="BodyTextChar"/>
    <w:rsid w:val="00841121"/>
    <w:pPr>
      <w:spacing w:after="120" w:line="240" w:lineRule="auto"/>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841121"/>
    <w:rPr>
      <w:rFonts w:ascii="Arial" w:eastAsia="Times New Roman" w:hAnsi="Arial" w:cs="Times New Roman"/>
      <w:sz w:val="20"/>
      <w:szCs w:val="20"/>
    </w:rPr>
  </w:style>
  <w:style w:type="paragraph" w:styleId="BodyText2">
    <w:name w:val="Body Text 2"/>
    <w:basedOn w:val="Normal"/>
    <w:link w:val="BodyText2Char"/>
    <w:rsid w:val="00841121"/>
    <w:pPr>
      <w:spacing w:after="0" w:line="240" w:lineRule="auto"/>
      <w:ind w:left="1296"/>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841121"/>
    <w:rPr>
      <w:rFonts w:ascii="Times New Roman" w:eastAsia="Times New Roman" w:hAnsi="Times New Roman" w:cs="Times New Roman"/>
      <w:sz w:val="20"/>
      <w:szCs w:val="20"/>
    </w:rPr>
  </w:style>
  <w:style w:type="paragraph" w:styleId="BodyTextIndent3">
    <w:name w:val="Body Text Indent 3"/>
    <w:basedOn w:val="Normal"/>
    <w:link w:val="BodyTextIndent3Char"/>
    <w:rsid w:val="00841121"/>
    <w:pPr>
      <w:spacing w:after="0" w:line="240" w:lineRule="auto"/>
      <w:ind w:left="864"/>
    </w:pPr>
    <w:rPr>
      <w:rFonts w:ascii="Times New Roman" w:eastAsia="Times New Roman" w:hAnsi="Times New Roman" w:cs="Times New Roman"/>
      <w:b/>
      <w:i/>
      <w:sz w:val="20"/>
      <w:szCs w:val="20"/>
    </w:rPr>
  </w:style>
  <w:style w:type="character" w:customStyle="1" w:styleId="BodyTextIndent3Char">
    <w:name w:val="Body Text Indent 3 Char"/>
    <w:basedOn w:val="DefaultParagraphFont"/>
    <w:link w:val="BodyTextIndent3"/>
    <w:rsid w:val="00841121"/>
    <w:rPr>
      <w:rFonts w:ascii="Times New Roman" w:eastAsia="Times New Roman" w:hAnsi="Times New Roman" w:cs="Times New Roman"/>
      <w:b/>
      <w:i/>
      <w:sz w:val="20"/>
      <w:szCs w:val="20"/>
    </w:rPr>
  </w:style>
  <w:style w:type="paragraph" w:styleId="Caption">
    <w:name w:val="caption"/>
    <w:basedOn w:val="Normal"/>
    <w:next w:val="Normal"/>
    <w:qFormat/>
    <w:rsid w:val="00841121"/>
    <w:pPr>
      <w:spacing w:before="360" w:after="240" w:line="240" w:lineRule="auto"/>
      <w:jc w:val="center"/>
    </w:pPr>
    <w:rPr>
      <w:rFonts w:ascii="Times New Roman" w:eastAsia="Times New Roman" w:hAnsi="Times New Roman" w:cs="Times New Roman"/>
      <w:b/>
      <w:sz w:val="24"/>
      <w:szCs w:val="20"/>
    </w:rPr>
  </w:style>
  <w:style w:type="paragraph" w:styleId="BodyTextIndent2">
    <w:name w:val="Body Text Indent 2"/>
    <w:basedOn w:val="Normal"/>
    <w:link w:val="BodyTextIndent2Char"/>
    <w:rsid w:val="00841121"/>
    <w:pPr>
      <w:spacing w:after="0" w:line="240" w:lineRule="auto"/>
      <w:ind w:left="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841121"/>
    <w:rPr>
      <w:rFonts w:ascii="Times New Roman" w:eastAsia="Times New Roman" w:hAnsi="Times New Roman" w:cs="Times New Roman"/>
      <w:sz w:val="24"/>
      <w:szCs w:val="20"/>
    </w:rPr>
  </w:style>
  <w:style w:type="character" w:styleId="Emphasis">
    <w:name w:val="Emphasis"/>
    <w:qFormat/>
    <w:rsid w:val="00841121"/>
    <w:rPr>
      <w:i/>
    </w:rPr>
  </w:style>
  <w:style w:type="paragraph" w:styleId="BodyText3">
    <w:name w:val="Body Text 3"/>
    <w:basedOn w:val="Normal"/>
    <w:link w:val="BodyText3Char"/>
    <w:rsid w:val="00841121"/>
    <w:pPr>
      <w:pBdr>
        <w:top w:val="single" w:sz="4" w:space="1" w:color="auto"/>
        <w:left w:val="single" w:sz="4" w:space="4" w:color="auto"/>
        <w:bottom w:val="single" w:sz="4" w:space="1" w:color="auto"/>
        <w:right w:val="single" w:sz="4" w:space="4" w:color="auto"/>
      </w:pBdr>
      <w:spacing w:before="360" w:after="0" w:line="240" w:lineRule="auto"/>
      <w:jc w:val="center"/>
    </w:pPr>
    <w:rPr>
      <w:rFonts w:ascii="Times New Roman" w:eastAsia="Times New Roman" w:hAnsi="Times New Roman" w:cs="Times New Roman"/>
      <w:b/>
      <w:i/>
      <w:sz w:val="24"/>
      <w:szCs w:val="20"/>
    </w:rPr>
  </w:style>
  <w:style w:type="character" w:customStyle="1" w:styleId="BodyText3Char">
    <w:name w:val="Body Text 3 Char"/>
    <w:basedOn w:val="DefaultParagraphFont"/>
    <w:link w:val="BodyText3"/>
    <w:rsid w:val="00841121"/>
    <w:rPr>
      <w:rFonts w:ascii="Times New Roman" w:eastAsia="Times New Roman" w:hAnsi="Times New Roman" w:cs="Times New Roman"/>
      <w:b/>
      <w:i/>
      <w:sz w:val="24"/>
      <w:szCs w:val="20"/>
    </w:rPr>
  </w:style>
  <w:style w:type="character" w:styleId="Hyperlink">
    <w:name w:val="Hyperlink"/>
    <w:uiPriority w:val="99"/>
    <w:rsid w:val="00841121"/>
    <w:rPr>
      <w:color w:val="0000FF"/>
      <w:u w:val="single"/>
    </w:rPr>
  </w:style>
  <w:style w:type="paragraph" w:styleId="Title">
    <w:name w:val="Title"/>
    <w:basedOn w:val="Normal"/>
    <w:link w:val="TitleChar"/>
    <w:qFormat/>
    <w:rsid w:val="00841121"/>
    <w:pPr>
      <w:spacing w:after="0" w:line="240" w:lineRule="auto"/>
      <w:jc w:val="center"/>
    </w:pPr>
    <w:rPr>
      <w:rFonts w:ascii="Century Gothic" w:eastAsia="Times New Roman" w:hAnsi="Century Gothic" w:cs="Times New Roman"/>
      <w:sz w:val="24"/>
      <w:szCs w:val="20"/>
    </w:rPr>
  </w:style>
  <w:style w:type="character" w:customStyle="1" w:styleId="TitleChar">
    <w:name w:val="Title Char"/>
    <w:basedOn w:val="DefaultParagraphFont"/>
    <w:link w:val="Title"/>
    <w:rsid w:val="00841121"/>
    <w:rPr>
      <w:rFonts w:ascii="Century Gothic" w:eastAsia="Times New Roman" w:hAnsi="Century Gothic" w:cs="Times New Roman"/>
      <w:sz w:val="24"/>
      <w:szCs w:val="20"/>
    </w:rPr>
  </w:style>
  <w:style w:type="paragraph" w:customStyle="1" w:styleId="1A">
    <w:name w:val="1. A."/>
    <w:rsid w:val="00841121"/>
    <w:pPr>
      <w:tabs>
        <w:tab w:val="left" w:pos="1440"/>
      </w:tabs>
      <w:spacing w:after="240" w:line="240" w:lineRule="exact"/>
      <w:ind w:left="1440" w:hanging="720"/>
      <w:jc w:val="both"/>
    </w:pPr>
    <w:rPr>
      <w:rFonts w:ascii="Bookman" w:eastAsia="Times New Roman" w:hAnsi="Bookman" w:cs="Times New Roman"/>
      <w:sz w:val="24"/>
      <w:szCs w:val="20"/>
    </w:rPr>
  </w:style>
  <w:style w:type="paragraph" w:customStyle="1" w:styleId="Justified">
    <w:name w:val="Justified"/>
    <w:basedOn w:val="Normal"/>
    <w:rsid w:val="00841121"/>
    <w:pPr>
      <w:spacing w:after="240" w:line="240" w:lineRule="exact"/>
      <w:jc w:val="both"/>
    </w:pPr>
    <w:rPr>
      <w:rFonts w:ascii="Times New Roman" w:eastAsia="Times New Roman" w:hAnsi="Times New Roman" w:cs="Times New Roman"/>
      <w:sz w:val="24"/>
      <w:szCs w:val="20"/>
    </w:rPr>
  </w:style>
  <w:style w:type="paragraph" w:customStyle="1" w:styleId="reference">
    <w:name w:val="reference"/>
    <w:basedOn w:val="Normal"/>
    <w:rsid w:val="00841121"/>
    <w:pPr>
      <w:spacing w:before="120" w:after="0" w:line="240" w:lineRule="auto"/>
      <w:jc w:val="center"/>
    </w:pPr>
    <w:rPr>
      <w:rFonts w:ascii="Times New Roman" w:eastAsia="Times New Roman" w:hAnsi="Times New Roman" w:cs="Times New Roman"/>
      <w:sz w:val="18"/>
      <w:szCs w:val="20"/>
    </w:rPr>
  </w:style>
  <w:style w:type="character" w:styleId="CommentReference">
    <w:name w:val="annotation reference"/>
    <w:uiPriority w:val="99"/>
    <w:rsid w:val="00841121"/>
    <w:rPr>
      <w:sz w:val="16"/>
      <w:szCs w:val="16"/>
    </w:rPr>
  </w:style>
  <w:style w:type="paragraph" w:styleId="CommentText">
    <w:name w:val="annotation text"/>
    <w:basedOn w:val="Normal"/>
    <w:link w:val="CommentTextChar"/>
    <w:rsid w:val="0084112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41121"/>
    <w:rPr>
      <w:rFonts w:ascii="Times New Roman" w:eastAsia="Times New Roman" w:hAnsi="Times New Roman" w:cs="Times New Roman"/>
      <w:sz w:val="20"/>
      <w:szCs w:val="20"/>
    </w:rPr>
  </w:style>
  <w:style w:type="paragraph" w:customStyle="1" w:styleId="Default">
    <w:name w:val="Default"/>
    <w:rsid w:val="0084112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Text1">
    <w:name w:val="Body Text1"/>
    <w:basedOn w:val="Normal"/>
    <w:rsid w:val="00841121"/>
    <w:pPr>
      <w:spacing w:before="120" w:after="120" w:line="240" w:lineRule="auto"/>
    </w:pPr>
    <w:rPr>
      <w:rFonts w:ascii="Arial" w:eastAsia="Times New Roman" w:hAnsi="Arial" w:cs="Times New Roman"/>
      <w:sz w:val="20"/>
      <w:szCs w:val="20"/>
    </w:rPr>
  </w:style>
  <w:style w:type="paragraph" w:customStyle="1" w:styleId="columnsection">
    <w:name w:val="column section"/>
    <w:basedOn w:val="Normal"/>
    <w:rsid w:val="00841121"/>
    <w:pPr>
      <w:spacing w:before="120" w:after="120" w:line="240" w:lineRule="auto"/>
      <w:ind w:left="475" w:hanging="475"/>
    </w:pPr>
    <w:rPr>
      <w:rFonts w:ascii="Arial" w:eastAsia="Times New Roman" w:hAnsi="Arial" w:cs="Times New Roman"/>
      <w:b/>
      <w:caps/>
      <w:sz w:val="20"/>
      <w:szCs w:val="20"/>
    </w:rPr>
  </w:style>
  <w:style w:type="paragraph" w:styleId="ListNumber">
    <w:name w:val="List Number"/>
    <w:basedOn w:val="List"/>
    <w:rsid w:val="00841121"/>
    <w:pPr>
      <w:spacing w:after="240" w:line="240" w:lineRule="atLeast"/>
      <w:ind w:left="0" w:firstLine="0"/>
      <w:contextualSpacing w:val="0"/>
    </w:pPr>
    <w:rPr>
      <w:rFonts w:ascii="Garamond" w:hAnsi="Garamond"/>
      <w:spacing w:val="-5"/>
      <w:sz w:val="24"/>
    </w:rPr>
  </w:style>
  <w:style w:type="paragraph" w:styleId="List">
    <w:name w:val="List"/>
    <w:basedOn w:val="Normal"/>
    <w:rsid w:val="00841121"/>
    <w:pPr>
      <w:spacing w:after="0" w:line="240" w:lineRule="auto"/>
      <w:ind w:left="360" w:hanging="360"/>
      <w:contextualSpacing/>
    </w:pPr>
    <w:rPr>
      <w:rFonts w:ascii="Univers (W1)" w:eastAsia="Times New Roman" w:hAnsi="Univers (W1)" w:cs="Times New Roman"/>
      <w:sz w:val="20"/>
      <w:szCs w:val="20"/>
    </w:rPr>
  </w:style>
  <w:style w:type="paragraph" w:customStyle="1" w:styleId="NOTESFIRSTLINEBefore12pts">
    <w:name w:val="NOTES FIRST LINE Before 12 pts"/>
    <w:basedOn w:val="NOTESFIRSTLINE"/>
    <w:rsid w:val="00841121"/>
    <w:pPr>
      <w:tabs>
        <w:tab w:val="clear" w:pos="1440"/>
      </w:tabs>
    </w:pPr>
  </w:style>
  <w:style w:type="paragraph" w:customStyle="1" w:styleId="PARAFLUSHUNDER1A0">
    <w:name w:val="PARA FLUSH UNDER 1.A."/>
    <w:rsid w:val="00841121"/>
    <w:pPr>
      <w:spacing w:after="240" w:line="240" w:lineRule="exact"/>
      <w:ind w:left="1560"/>
      <w:jc w:val="both"/>
    </w:pPr>
    <w:rPr>
      <w:rFonts w:ascii="Helvetica" w:eastAsia="Times New Roman" w:hAnsi="Helvetica" w:cs="Times New Roman"/>
      <w:sz w:val="20"/>
      <w:szCs w:val="20"/>
    </w:rPr>
  </w:style>
  <w:style w:type="paragraph" w:styleId="CommentSubject">
    <w:name w:val="annotation subject"/>
    <w:basedOn w:val="CommentText"/>
    <w:next w:val="CommentText"/>
    <w:link w:val="CommentSubjectChar"/>
    <w:rsid w:val="00841121"/>
    <w:rPr>
      <w:rFonts w:ascii="Univers (W1)" w:hAnsi="Univers (W1)"/>
      <w:b/>
      <w:bCs/>
    </w:rPr>
  </w:style>
  <w:style w:type="character" w:customStyle="1" w:styleId="CommentSubjectChar">
    <w:name w:val="Comment Subject Char"/>
    <w:basedOn w:val="CommentTextChar"/>
    <w:link w:val="CommentSubject"/>
    <w:rsid w:val="00841121"/>
    <w:rPr>
      <w:rFonts w:ascii="Univers (W1)" w:eastAsia="Times New Roman" w:hAnsi="Univers (W1)" w:cs="Times New Roman"/>
      <w:b/>
      <w:bCs/>
      <w:sz w:val="20"/>
      <w:szCs w:val="20"/>
    </w:rPr>
  </w:style>
  <w:style w:type="paragraph" w:styleId="Revision">
    <w:name w:val="Revision"/>
    <w:hidden/>
    <w:uiPriority w:val="99"/>
    <w:semiHidden/>
    <w:rsid w:val="00841121"/>
    <w:pPr>
      <w:spacing w:after="0" w:line="240" w:lineRule="auto"/>
    </w:pPr>
    <w:rPr>
      <w:rFonts w:ascii="Univers (W1)" w:eastAsia="Times New Roman" w:hAnsi="Univers (W1)" w:cs="Times New Roman"/>
      <w:sz w:val="20"/>
      <w:szCs w:val="20"/>
    </w:rPr>
  </w:style>
  <w:style w:type="paragraph" w:styleId="ListParagraph">
    <w:name w:val="List Paragraph"/>
    <w:basedOn w:val="Normal"/>
    <w:uiPriority w:val="34"/>
    <w:qFormat/>
    <w:rsid w:val="00841121"/>
    <w:pPr>
      <w:spacing w:after="0" w:line="240" w:lineRule="auto"/>
      <w:ind w:left="720"/>
      <w:contextualSpacing/>
    </w:pPr>
    <w:rPr>
      <w:rFonts w:ascii="Univers (W1)" w:eastAsia="Times New Roman" w:hAnsi="Univers (W1)" w:cs="Times New Roman"/>
      <w:sz w:val="20"/>
      <w:szCs w:val="20"/>
    </w:rPr>
  </w:style>
  <w:style w:type="paragraph" w:customStyle="1" w:styleId="Signature11">
    <w:name w:val="Signature11"/>
    <w:rsid w:val="00841121"/>
    <w:pPr>
      <w:spacing w:before="720" w:after="480" w:line="240" w:lineRule="auto"/>
    </w:pPr>
    <w:rPr>
      <w:rFonts w:ascii="Times New Roman" w:eastAsia="Times New Roman" w:hAnsi="Times New Roman" w:cs="Times New Roman"/>
      <w:sz w:val="24"/>
      <w:szCs w:val="20"/>
    </w:rPr>
  </w:style>
  <w:style w:type="character" w:customStyle="1" w:styleId="PARAFLUSHUNDER1Char">
    <w:name w:val="PARA FLUSH UNDER 1. Char"/>
    <w:link w:val="PARAFLUSHUNDER1"/>
    <w:rsid w:val="00841121"/>
    <w:rPr>
      <w:rFonts w:ascii="Times New Roman" w:eastAsia="Times New Roman" w:hAnsi="Times New Roman" w:cs="Times New Roman"/>
      <w:sz w:val="24"/>
      <w:szCs w:val="20"/>
    </w:rPr>
  </w:style>
  <w:style w:type="numbering" w:customStyle="1" w:styleId="NoList2">
    <w:name w:val="No List2"/>
    <w:next w:val="NoList"/>
    <w:uiPriority w:val="99"/>
    <w:semiHidden/>
    <w:unhideWhenUsed/>
    <w:rsid w:val="005A31CF"/>
  </w:style>
  <w:style w:type="paragraph" w:customStyle="1" w:styleId="Signature2">
    <w:name w:val="Signature2"/>
    <w:rsid w:val="005A31CF"/>
    <w:pPr>
      <w:spacing w:before="720" w:after="480" w:line="240" w:lineRule="auto"/>
    </w:pPr>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F7241C"/>
    <w:rPr>
      <w:color w:val="605E5C"/>
      <w:shd w:val="clear" w:color="auto" w:fill="E1DFDD"/>
    </w:rPr>
  </w:style>
  <w:style w:type="paragraph" w:customStyle="1" w:styleId="armleftmargin000">
    <w:name w:val="arm_leftmargin_000"/>
    <w:basedOn w:val="Normal"/>
    <w:rsid w:val="00044B34"/>
    <w:pPr>
      <w:spacing w:after="240" w:line="240" w:lineRule="auto"/>
    </w:pPr>
    <w:rPr>
      <w:rFonts w:ascii="Times New Roman" w:eastAsia="Times New Roman" w:hAnsi="Times New Roman" w:cs="Times New Roman"/>
      <w:sz w:val="24"/>
      <w:szCs w:val="24"/>
    </w:rPr>
  </w:style>
  <w:style w:type="paragraph" w:customStyle="1" w:styleId="OSAHeading2">
    <w:name w:val=".OSA Heading 2"/>
    <w:basedOn w:val="Heading2"/>
    <w:qFormat/>
    <w:rsid w:val="00756094"/>
    <w:rPr>
      <w:rFonts w:ascii="Trebuchet MS" w:hAnsi="Trebuchet MS"/>
      <w:smallCaps w:val="0"/>
    </w:rPr>
  </w:style>
  <w:style w:type="paragraph" w:customStyle="1" w:styleId="OSATableofContentsStyle1">
    <w:name w:val=".OSA Table of Contents Style1"/>
    <w:basedOn w:val="Normal"/>
    <w:qFormat/>
    <w:rsid w:val="0074668E"/>
    <w:pPr>
      <w:keepLines/>
      <w:pageBreakBefore/>
      <w:pBdr>
        <w:bottom w:val="single" w:sz="12" w:space="1" w:color="auto"/>
      </w:pBdr>
      <w:tabs>
        <w:tab w:val="right" w:leader="dot" w:pos="1008"/>
      </w:tabs>
      <w:spacing w:after="240" w:line="240" w:lineRule="auto"/>
      <w:ind w:left="2707" w:right="-331" w:hanging="360"/>
    </w:pPr>
    <w:rPr>
      <w:rFonts w:ascii="Trebuchet MS" w:eastAsia="Times New Roman" w:hAnsi="Trebuchet MS" w:cs="Arial"/>
      <w:b/>
      <w:sz w:val="44"/>
      <w:szCs w:val="20"/>
    </w:rPr>
  </w:style>
  <w:style w:type="paragraph" w:customStyle="1" w:styleId="OSATitleStyle1">
    <w:name w:val=".OSA Title Style1"/>
    <w:basedOn w:val="Normal"/>
    <w:qFormat/>
    <w:rsid w:val="0074668E"/>
    <w:pPr>
      <w:spacing w:after="0" w:line="240" w:lineRule="auto"/>
      <w:jc w:val="center"/>
    </w:pPr>
    <w:rPr>
      <w:rFonts w:ascii="Trebuchet MS" w:eastAsia="Times New Roman" w:hAnsi="Trebuchet MS" w:cs="Arial"/>
      <w:b/>
      <w:sz w:val="96"/>
      <w:szCs w:val="9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F044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225747">
      <w:bodyDiv w:val="1"/>
      <w:marLeft w:val="0"/>
      <w:marRight w:val="0"/>
      <w:marTop w:val="0"/>
      <w:marBottom w:val="0"/>
      <w:divBdr>
        <w:top w:val="none" w:sz="0" w:space="0" w:color="auto"/>
        <w:left w:val="none" w:sz="0" w:space="0" w:color="auto"/>
        <w:bottom w:val="none" w:sz="0" w:space="0" w:color="auto"/>
        <w:right w:val="none" w:sz="0" w:space="0" w:color="auto"/>
      </w:divBdr>
    </w:div>
    <w:div w:id="416637746">
      <w:bodyDiv w:val="1"/>
      <w:marLeft w:val="0"/>
      <w:marRight w:val="0"/>
      <w:marTop w:val="0"/>
      <w:marBottom w:val="0"/>
      <w:divBdr>
        <w:top w:val="none" w:sz="0" w:space="0" w:color="auto"/>
        <w:left w:val="none" w:sz="0" w:space="0" w:color="auto"/>
        <w:bottom w:val="none" w:sz="0" w:space="0" w:color="auto"/>
        <w:right w:val="none" w:sz="0" w:space="0" w:color="auto"/>
      </w:divBdr>
    </w:div>
    <w:div w:id="440804964">
      <w:bodyDiv w:val="1"/>
      <w:marLeft w:val="0"/>
      <w:marRight w:val="0"/>
      <w:marTop w:val="0"/>
      <w:marBottom w:val="0"/>
      <w:divBdr>
        <w:top w:val="none" w:sz="0" w:space="0" w:color="auto"/>
        <w:left w:val="none" w:sz="0" w:space="0" w:color="auto"/>
        <w:bottom w:val="none" w:sz="0" w:space="0" w:color="auto"/>
        <w:right w:val="none" w:sz="0" w:space="0" w:color="auto"/>
      </w:divBdr>
    </w:div>
    <w:div w:id="574899873">
      <w:bodyDiv w:val="1"/>
      <w:marLeft w:val="0"/>
      <w:marRight w:val="0"/>
      <w:marTop w:val="0"/>
      <w:marBottom w:val="0"/>
      <w:divBdr>
        <w:top w:val="none" w:sz="0" w:space="0" w:color="auto"/>
        <w:left w:val="none" w:sz="0" w:space="0" w:color="auto"/>
        <w:bottom w:val="none" w:sz="0" w:space="0" w:color="auto"/>
        <w:right w:val="none" w:sz="0" w:space="0" w:color="auto"/>
      </w:divBdr>
    </w:div>
    <w:div w:id="580606433">
      <w:bodyDiv w:val="1"/>
      <w:marLeft w:val="0"/>
      <w:marRight w:val="0"/>
      <w:marTop w:val="0"/>
      <w:marBottom w:val="0"/>
      <w:divBdr>
        <w:top w:val="none" w:sz="0" w:space="0" w:color="auto"/>
        <w:left w:val="none" w:sz="0" w:space="0" w:color="auto"/>
        <w:bottom w:val="none" w:sz="0" w:space="0" w:color="auto"/>
        <w:right w:val="none" w:sz="0" w:space="0" w:color="auto"/>
      </w:divBdr>
    </w:div>
    <w:div w:id="583420318">
      <w:bodyDiv w:val="1"/>
      <w:marLeft w:val="0"/>
      <w:marRight w:val="0"/>
      <w:marTop w:val="0"/>
      <w:marBottom w:val="0"/>
      <w:divBdr>
        <w:top w:val="none" w:sz="0" w:space="0" w:color="auto"/>
        <w:left w:val="none" w:sz="0" w:space="0" w:color="auto"/>
        <w:bottom w:val="none" w:sz="0" w:space="0" w:color="auto"/>
        <w:right w:val="none" w:sz="0" w:space="0" w:color="auto"/>
      </w:divBdr>
    </w:div>
    <w:div w:id="706686836">
      <w:bodyDiv w:val="1"/>
      <w:marLeft w:val="0"/>
      <w:marRight w:val="0"/>
      <w:marTop w:val="0"/>
      <w:marBottom w:val="0"/>
      <w:divBdr>
        <w:top w:val="none" w:sz="0" w:space="0" w:color="auto"/>
        <w:left w:val="none" w:sz="0" w:space="0" w:color="auto"/>
        <w:bottom w:val="none" w:sz="0" w:space="0" w:color="auto"/>
        <w:right w:val="none" w:sz="0" w:space="0" w:color="auto"/>
      </w:divBdr>
    </w:div>
    <w:div w:id="711661768">
      <w:bodyDiv w:val="1"/>
      <w:marLeft w:val="0"/>
      <w:marRight w:val="0"/>
      <w:marTop w:val="0"/>
      <w:marBottom w:val="0"/>
      <w:divBdr>
        <w:top w:val="none" w:sz="0" w:space="0" w:color="auto"/>
        <w:left w:val="none" w:sz="0" w:space="0" w:color="auto"/>
        <w:bottom w:val="none" w:sz="0" w:space="0" w:color="auto"/>
        <w:right w:val="none" w:sz="0" w:space="0" w:color="auto"/>
      </w:divBdr>
    </w:div>
    <w:div w:id="718742619">
      <w:bodyDiv w:val="1"/>
      <w:marLeft w:val="0"/>
      <w:marRight w:val="0"/>
      <w:marTop w:val="0"/>
      <w:marBottom w:val="0"/>
      <w:divBdr>
        <w:top w:val="none" w:sz="0" w:space="0" w:color="auto"/>
        <w:left w:val="none" w:sz="0" w:space="0" w:color="auto"/>
        <w:bottom w:val="none" w:sz="0" w:space="0" w:color="auto"/>
        <w:right w:val="none" w:sz="0" w:space="0" w:color="auto"/>
      </w:divBdr>
    </w:div>
    <w:div w:id="810560488">
      <w:bodyDiv w:val="1"/>
      <w:marLeft w:val="0"/>
      <w:marRight w:val="0"/>
      <w:marTop w:val="0"/>
      <w:marBottom w:val="0"/>
      <w:divBdr>
        <w:top w:val="none" w:sz="0" w:space="0" w:color="auto"/>
        <w:left w:val="none" w:sz="0" w:space="0" w:color="auto"/>
        <w:bottom w:val="none" w:sz="0" w:space="0" w:color="auto"/>
        <w:right w:val="none" w:sz="0" w:space="0" w:color="auto"/>
      </w:divBdr>
    </w:div>
    <w:div w:id="814756431">
      <w:bodyDiv w:val="1"/>
      <w:marLeft w:val="0"/>
      <w:marRight w:val="0"/>
      <w:marTop w:val="0"/>
      <w:marBottom w:val="0"/>
      <w:divBdr>
        <w:top w:val="none" w:sz="0" w:space="0" w:color="auto"/>
        <w:left w:val="none" w:sz="0" w:space="0" w:color="auto"/>
        <w:bottom w:val="none" w:sz="0" w:space="0" w:color="auto"/>
        <w:right w:val="none" w:sz="0" w:space="0" w:color="auto"/>
      </w:divBdr>
    </w:div>
    <w:div w:id="908425266">
      <w:bodyDiv w:val="1"/>
      <w:marLeft w:val="0"/>
      <w:marRight w:val="0"/>
      <w:marTop w:val="0"/>
      <w:marBottom w:val="0"/>
      <w:divBdr>
        <w:top w:val="none" w:sz="0" w:space="0" w:color="auto"/>
        <w:left w:val="none" w:sz="0" w:space="0" w:color="auto"/>
        <w:bottom w:val="none" w:sz="0" w:space="0" w:color="auto"/>
        <w:right w:val="none" w:sz="0" w:space="0" w:color="auto"/>
      </w:divBdr>
    </w:div>
    <w:div w:id="949706763">
      <w:bodyDiv w:val="1"/>
      <w:marLeft w:val="0"/>
      <w:marRight w:val="0"/>
      <w:marTop w:val="0"/>
      <w:marBottom w:val="0"/>
      <w:divBdr>
        <w:top w:val="none" w:sz="0" w:space="0" w:color="auto"/>
        <w:left w:val="none" w:sz="0" w:space="0" w:color="auto"/>
        <w:bottom w:val="none" w:sz="0" w:space="0" w:color="auto"/>
        <w:right w:val="none" w:sz="0" w:space="0" w:color="auto"/>
      </w:divBdr>
    </w:div>
    <w:div w:id="1046831056">
      <w:bodyDiv w:val="1"/>
      <w:marLeft w:val="0"/>
      <w:marRight w:val="0"/>
      <w:marTop w:val="0"/>
      <w:marBottom w:val="0"/>
      <w:divBdr>
        <w:top w:val="none" w:sz="0" w:space="0" w:color="auto"/>
        <w:left w:val="none" w:sz="0" w:space="0" w:color="auto"/>
        <w:bottom w:val="none" w:sz="0" w:space="0" w:color="auto"/>
        <w:right w:val="none" w:sz="0" w:space="0" w:color="auto"/>
      </w:divBdr>
    </w:div>
    <w:div w:id="1115489693">
      <w:bodyDiv w:val="1"/>
      <w:marLeft w:val="0"/>
      <w:marRight w:val="0"/>
      <w:marTop w:val="0"/>
      <w:marBottom w:val="0"/>
      <w:divBdr>
        <w:top w:val="none" w:sz="0" w:space="0" w:color="auto"/>
        <w:left w:val="none" w:sz="0" w:space="0" w:color="auto"/>
        <w:bottom w:val="none" w:sz="0" w:space="0" w:color="auto"/>
        <w:right w:val="none" w:sz="0" w:space="0" w:color="auto"/>
      </w:divBdr>
    </w:div>
    <w:div w:id="1251160197">
      <w:bodyDiv w:val="1"/>
      <w:marLeft w:val="0"/>
      <w:marRight w:val="0"/>
      <w:marTop w:val="0"/>
      <w:marBottom w:val="0"/>
      <w:divBdr>
        <w:top w:val="none" w:sz="0" w:space="0" w:color="auto"/>
        <w:left w:val="none" w:sz="0" w:space="0" w:color="auto"/>
        <w:bottom w:val="none" w:sz="0" w:space="0" w:color="auto"/>
        <w:right w:val="none" w:sz="0" w:space="0" w:color="auto"/>
      </w:divBdr>
    </w:div>
    <w:div w:id="1267225915">
      <w:bodyDiv w:val="1"/>
      <w:marLeft w:val="0"/>
      <w:marRight w:val="0"/>
      <w:marTop w:val="0"/>
      <w:marBottom w:val="0"/>
      <w:divBdr>
        <w:top w:val="none" w:sz="0" w:space="0" w:color="auto"/>
        <w:left w:val="none" w:sz="0" w:space="0" w:color="auto"/>
        <w:bottom w:val="none" w:sz="0" w:space="0" w:color="auto"/>
        <w:right w:val="none" w:sz="0" w:space="0" w:color="auto"/>
      </w:divBdr>
    </w:div>
    <w:div w:id="1279490339">
      <w:bodyDiv w:val="1"/>
      <w:marLeft w:val="0"/>
      <w:marRight w:val="0"/>
      <w:marTop w:val="0"/>
      <w:marBottom w:val="0"/>
      <w:divBdr>
        <w:top w:val="none" w:sz="0" w:space="0" w:color="auto"/>
        <w:left w:val="none" w:sz="0" w:space="0" w:color="auto"/>
        <w:bottom w:val="none" w:sz="0" w:space="0" w:color="auto"/>
        <w:right w:val="none" w:sz="0" w:space="0" w:color="auto"/>
      </w:divBdr>
    </w:div>
    <w:div w:id="1308440998">
      <w:bodyDiv w:val="1"/>
      <w:marLeft w:val="0"/>
      <w:marRight w:val="0"/>
      <w:marTop w:val="0"/>
      <w:marBottom w:val="0"/>
      <w:divBdr>
        <w:top w:val="none" w:sz="0" w:space="0" w:color="auto"/>
        <w:left w:val="none" w:sz="0" w:space="0" w:color="auto"/>
        <w:bottom w:val="none" w:sz="0" w:space="0" w:color="auto"/>
        <w:right w:val="none" w:sz="0" w:space="0" w:color="auto"/>
      </w:divBdr>
    </w:div>
    <w:div w:id="1328097794">
      <w:bodyDiv w:val="1"/>
      <w:marLeft w:val="0"/>
      <w:marRight w:val="0"/>
      <w:marTop w:val="0"/>
      <w:marBottom w:val="0"/>
      <w:divBdr>
        <w:top w:val="none" w:sz="0" w:space="0" w:color="auto"/>
        <w:left w:val="none" w:sz="0" w:space="0" w:color="auto"/>
        <w:bottom w:val="none" w:sz="0" w:space="0" w:color="auto"/>
        <w:right w:val="none" w:sz="0" w:space="0" w:color="auto"/>
      </w:divBdr>
    </w:div>
    <w:div w:id="1371539979">
      <w:bodyDiv w:val="1"/>
      <w:marLeft w:val="0"/>
      <w:marRight w:val="0"/>
      <w:marTop w:val="0"/>
      <w:marBottom w:val="0"/>
      <w:divBdr>
        <w:top w:val="none" w:sz="0" w:space="0" w:color="auto"/>
        <w:left w:val="none" w:sz="0" w:space="0" w:color="auto"/>
        <w:bottom w:val="none" w:sz="0" w:space="0" w:color="auto"/>
        <w:right w:val="none" w:sz="0" w:space="0" w:color="auto"/>
      </w:divBdr>
    </w:div>
    <w:div w:id="1596086462">
      <w:bodyDiv w:val="1"/>
      <w:marLeft w:val="0"/>
      <w:marRight w:val="0"/>
      <w:marTop w:val="0"/>
      <w:marBottom w:val="0"/>
      <w:divBdr>
        <w:top w:val="none" w:sz="0" w:space="0" w:color="auto"/>
        <w:left w:val="none" w:sz="0" w:space="0" w:color="auto"/>
        <w:bottom w:val="none" w:sz="0" w:space="0" w:color="auto"/>
        <w:right w:val="none" w:sz="0" w:space="0" w:color="auto"/>
      </w:divBdr>
    </w:div>
    <w:div w:id="1872256240">
      <w:bodyDiv w:val="1"/>
      <w:marLeft w:val="0"/>
      <w:marRight w:val="0"/>
      <w:marTop w:val="0"/>
      <w:marBottom w:val="0"/>
      <w:divBdr>
        <w:top w:val="none" w:sz="0" w:space="0" w:color="auto"/>
        <w:left w:val="none" w:sz="0" w:space="0" w:color="auto"/>
        <w:bottom w:val="none" w:sz="0" w:space="0" w:color="auto"/>
        <w:right w:val="none" w:sz="0" w:space="0" w:color="auto"/>
      </w:divBdr>
    </w:div>
    <w:div w:id="1913152163">
      <w:bodyDiv w:val="1"/>
      <w:marLeft w:val="0"/>
      <w:marRight w:val="0"/>
      <w:marTop w:val="0"/>
      <w:marBottom w:val="0"/>
      <w:divBdr>
        <w:top w:val="none" w:sz="0" w:space="0" w:color="auto"/>
        <w:left w:val="none" w:sz="0" w:space="0" w:color="auto"/>
        <w:bottom w:val="none" w:sz="0" w:space="0" w:color="auto"/>
        <w:right w:val="none" w:sz="0" w:space="0" w:color="auto"/>
      </w:divBdr>
    </w:div>
    <w:div w:id="193639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1.xlsx"/><Relationship Id="rId117" Type="http://schemas.openxmlformats.org/officeDocument/2006/relationships/footer" Target="footer4.xml"/><Relationship Id="rId21" Type="http://schemas.microsoft.com/office/2011/relationships/commentsExtended" Target="commentsExtended.xml"/><Relationship Id="rId42" Type="http://schemas.openxmlformats.org/officeDocument/2006/relationships/package" Target="embeddings/Microsoft_Excel_Worksheet8.xlsx"/><Relationship Id="rId47" Type="http://schemas.openxmlformats.org/officeDocument/2006/relationships/image" Target="media/image15.emf"/><Relationship Id="rId63" Type="http://schemas.openxmlformats.org/officeDocument/2006/relationships/image" Target="media/image23.emf"/><Relationship Id="rId68" Type="http://schemas.openxmlformats.org/officeDocument/2006/relationships/package" Target="embeddings/Microsoft_Excel_Worksheet21.xlsx"/><Relationship Id="rId84" Type="http://schemas.openxmlformats.org/officeDocument/2006/relationships/package" Target="embeddings/Microsoft_Excel_Worksheet27.xlsx"/><Relationship Id="rId89" Type="http://schemas.openxmlformats.org/officeDocument/2006/relationships/image" Target="media/image35.emf"/><Relationship Id="rId112" Type="http://schemas.openxmlformats.org/officeDocument/2006/relationships/header" Target="header9.xml"/><Relationship Id="rId16" Type="http://schemas.openxmlformats.org/officeDocument/2006/relationships/header" Target="header3.xml"/><Relationship Id="rId107" Type="http://schemas.openxmlformats.org/officeDocument/2006/relationships/header" Target="header4.xml"/><Relationship Id="rId11" Type="http://schemas.openxmlformats.org/officeDocument/2006/relationships/image" Target="media/image1.png"/><Relationship Id="rId32" Type="http://schemas.openxmlformats.org/officeDocument/2006/relationships/package" Target="embeddings/Microsoft_Excel_Worksheet3.xlsx"/><Relationship Id="rId37" Type="http://schemas.openxmlformats.org/officeDocument/2006/relationships/image" Target="media/image10.emf"/><Relationship Id="rId53" Type="http://schemas.openxmlformats.org/officeDocument/2006/relationships/image" Target="media/image18.emf"/><Relationship Id="rId58" Type="http://schemas.openxmlformats.org/officeDocument/2006/relationships/package" Target="embeddings/Microsoft_Excel_Worksheet16.xlsx"/><Relationship Id="rId74" Type="http://schemas.openxmlformats.org/officeDocument/2006/relationships/image" Target="media/image28.emf"/><Relationship Id="rId79" Type="http://schemas.openxmlformats.org/officeDocument/2006/relationships/oleObject" Target="embeddings/Microsoft_Excel_97-2003_Worksheet.xls"/><Relationship Id="rId102" Type="http://schemas.openxmlformats.org/officeDocument/2006/relationships/package" Target="embeddings/Microsoft_Excel_Worksheet35.xlsx"/><Relationship Id="rId5" Type="http://schemas.openxmlformats.org/officeDocument/2006/relationships/numbering" Target="numbering.xml"/><Relationship Id="rId90" Type="http://schemas.openxmlformats.org/officeDocument/2006/relationships/package" Target="embeddings/Microsoft_Excel_Worksheet30.xlsx"/><Relationship Id="rId95" Type="http://schemas.openxmlformats.org/officeDocument/2006/relationships/image" Target="media/image38.emf"/><Relationship Id="rId22" Type="http://schemas.microsoft.com/office/2016/09/relationships/commentsIds" Target="commentsIds.xml"/><Relationship Id="rId27" Type="http://schemas.openxmlformats.org/officeDocument/2006/relationships/hyperlink" Target="https://www.nctreasurer.com/" TargetMode="External"/><Relationship Id="rId43" Type="http://schemas.openxmlformats.org/officeDocument/2006/relationships/image" Target="media/image13.emf"/><Relationship Id="rId48" Type="http://schemas.openxmlformats.org/officeDocument/2006/relationships/package" Target="embeddings/Microsoft_Excel_Worksheet11.xlsx"/><Relationship Id="rId64" Type="http://schemas.openxmlformats.org/officeDocument/2006/relationships/package" Target="embeddings/Microsoft_Excel_Worksheet19.xlsx"/><Relationship Id="rId69" Type="http://schemas.openxmlformats.org/officeDocument/2006/relationships/hyperlink" Target="https://www.ncosc.gov/" TargetMode="External"/><Relationship Id="rId113" Type="http://schemas.openxmlformats.org/officeDocument/2006/relationships/header" Target="header10.xml"/><Relationship Id="rId118" Type="http://schemas.openxmlformats.org/officeDocument/2006/relationships/fontTable" Target="fontTable.xml"/><Relationship Id="rId80" Type="http://schemas.openxmlformats.org/officeDocument/2006/relationships/hyperlink" Target="https://www.ncosc.gov/" TargetMode="External"/><Relationship Id="rId85" Type="http://schemas.openxmlformats.org/officeDocument/2006/relationships/image" Target="media/image33.emf"/><Relationship Id="rId12" Type="http://schemas.openxmlformats.org/officeDocument/2006/relationships/image" Target="media/image2.png"/><Relationship Id="rId17" Type="http://schemas.openxmlformats.org/officeDocument/2006/relationships/footer" Target="footer1.xml"/><Relationship Id="rId33" Type="http://schemas.openxmlformats.org/officeDocument/2006/relationships/image" Target="media/image8.emf"/><Relationship Id="rId38" Type="http://schemas.openxmlformats.org/officeDocument/2006/relationships/package" Target="embeddings/Microsoft_Excel_Worksheet6.xlsx"/><Relationship Id="rId59" Type="http://schemas.openxmlformats.org/officeDocument/2006/relationships/image" Target="media/image21.emf"/><Relationship Id="rId103" Type="http://schemas.openxmlformats.org/officeDocument/2006/relationships/image" Target="media/image42.emf"/><Relationship Id="rId108" Type="http://schemas.openxmlformats.org/officeDocument/2006/relationships/header" Target="header5.xml"/><Relationship Id="rId54" Type="http://schemas.openxmlformats.org/officeDocument/2006/relationships/package" Target="embeddings/Microsoft_Excel_Worksheet14.xlsx"/><Relationship Id="rId70" Type="http://schemas.openxmlformats.org/officeDocument/2006/relationships/image" Target="media/image26.emf"/><Relationship Id="rId75" Type="http://schemas.openxmlformats.org/officeDocument/2006/relationships/package" Target="embeddings/Microsoft_Excel_Worksheet24.xlsx"/><Relationship Id="rId91" Type="http://schemas.openxmlformats.org/officeDocument/2006/relationships/image" Target="media/image36.emf"/><Relationship Id="rId96" Type="http://schemas.openxmlformats.org/officeDocument/2006/relationships/package" Target="embeddings/Microsoft_Excel_Worksheet33.xlsx"/><Relationship Id="rId1" Type="http://schemas.openxmlformats.org/officeDocument/2006/relationships/customXml" Target="../customXml/item1.xml"/><Relationship Id="rId6" Type="http://schemas.openxmlformats.org/officeDocument/2006/relationships/styles" Target="styles.xml"/><Relationship Id="rId23" Type="http://schemas.microsoft.com/office/2018/08/relationships/commentsExtensible" Target="commentsExtensible.xml"/><Relationship Id="rId28" Type="http://schemas.openxmlformats.org/officeDocument/2006/relationships/hyperlink" Target="https://www.nctreasurer.com/" TargetMode="External"/><Relationship Id="rId49" Type="http://schemas.openxmlformats.org/officeDocument/2006/relationships/image" Target="media/image16.emf"/><Relationship Id="rId114" Type="http://schemas.openxmlformats.org/officeDocument/2006/relationships/footer" Target="footer2.xml"/><Relationship Id="rId119" Type="http://schemas.microsoft.com/office/2011/relationships/people" Target="people.xml"/><Relationship Id="rId10" Type="http://schemas.openxmlformats.org/officeDocument/2006/relationships/endnotes" Target="endnotes.xml"/><Relationship Id="rId31" Type="http://schemas.openxmlformats.org/officeDocument/2006/relationships/image" Target="media/image7.emf"/><Relationship Id="rId44" Type="http://schemas.openxmlformats.org/officeDocument/2006/relationships/package" Target="embeddings/Microsoft_Excel_Worksheet9.xlsx"/><Relationship Id="rId52" Type="http://schemas.openxmlformats.org/officeDocument/2006/relationships/package" Target="embeddings/Microsoft_Excel_Worksheet13.xlsx"/><Relationship Id="rId60" Type="http://schemas.openxmlformats.org/officeDocument/2006/relationships/package" Target="embeddings/Microsoft_Excel_Worksheet17.xlsx"/><Relationship Id="rId65" Type="http://schemas.openxmlformats.org/officeDocument/2006/relationships/image" Target="media/image24.emf"/><Relationship Id="rId73" Type="http://schemas.openxmlformats.org/officeDocument/2006/relationships/package" Target="embeddings/Microsoft_Excel_Worksheet23.xlsx"/><Relationship Id="rId78" Type="http://schemas.openxmlformats.org/officeDocument/2006/relationships/image" Target="media/image30.emf"/><Relationship Id="rId81" Type="http://schemas.openxmlformats.org/officeDocument/2006/relationships/image" Target="media/image31.emf"/><Relationship Id="rId86" Type="http://schemas.openxmlformats.org/officeDocument/2006/relationships/package" Target="embeddings/Microsoft_Excel_Worksheet28.xlsx"/><Relationship Id="rId94" Type="http://schemas.openxmlformats.org/officeDocument/2006/relationships/package" Target="embeddings/Microsoft_Excel_Worksheet32.xlsx"/><Relationship Id="rId99" Type="http://schemas.openxmlformats.org/officeDocument/2006/relationships/image" Target="media/image40.emf"/><Relationship Id="rId101" Type="http://schemas.openxmlformats.org/officeDocument/2006/relationships/image" Target="media/image41.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4.emf"/><Relationship Id="rId39" Type="http://schemas.openxmlformats.org/officeDocument/2006/relationships/image" Target="media/image11.emf"/><Relationship Id="rId109" Type="http://schemas.openxmlformats.org/officeDocument/2006/relationships/header" Target="header6.xml"/><Relationship Id="rId34" Type="http://schemas.openxmlformats.org/officeDocument/2006/relationships/package" Target="embeddings/Microsoft_Excel_Worksheet4.xlsx"/><Relationship Id="rId50" Type="http://schemas.openxmlformats.org/officeDocument/2006/relationships/package" Target="embeddings/Microsoft_Excel_Worksheet12.xlsx"/><Relationship Id="rId55" Type="http://schemas.openxmlformats.org/officeDocument/2006/relationships/image" Target="media/image19.emf"/><Relationship Id="rId76" Type="http://schemas.openxmlformats.org/officeDocument/2006/relationships/image" Target="media/image29.emf"/><Relationship Id="rId97" Type="http://schemas.openxmlformats.org/officeDocument/2006/relationships/image" Target="media/image39.emf"/><Relationship Id="rId104" Type="http://schemas.openxmlformats.org/officeDocument/2006/relationships/package" Target="embeddings/Microsoft_Excel_Worksheet36.xlsx"/><Relationship Id="rId120"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package" Target="embeddings/Microsoft_Excel_Worksheet22.xlsx"/><Relationship Id="rId92" Type="http://schemas.openxmlformats.org/officeDocument/2006/relationships/package" Target="embeddings/Microsoft_Excel_Worksheet31.xlsx"/><Relationship Id="rId2" Type="http://schemas.openxmlformats.org/officeDocument/2006/relationships/customXml" Target="../customXml/item2.xml"/><Relationship Id="rId29" Type="http://schemas.openxmlformats.org/officeDocument/2006/relationships/image" Target="media/image6.emf"/><Relationship Id="rId24" Type="http://schemas.openxmlformats.org/officeDocument/2006/relationships/hyperlink" Target="https://www.nctreasurer.com/" TargetMode="External"/><Relationship Id="rId40" Type="http://schemas.openxmlformats.org/officeDocument/2006/relationships/package" Target="embeddings/Microsoft_Excel_Worksheet7.xlsx"/><Relationship Id="rId45" Type="http://schemas.openxmlformats.org/officeDocument/2006/relationships/image" Target="media/image14.emf"/><Relationship Id="rId66" Type="http://schemas.openxmlformats.org/officeDocument/2006/relationships/package" Target="embeddings/Microsoft_Excel_Worksheet20.xlsx"/><Relationship Id="rId87" Type="http://schemas.openxmlformats.org/officeDocument/2006/relationships/image" Target="media/image34.emf"/><Relationship Id="rId110" Type="http://schemas.openxmlformats.org/officeDocument/2006/relationships/header" Target="header7.xml"/><Relationship Id="rId115" Type="http://schemas.openxmlformats.org/officeDocument/2006/relationships/footer" Target="footer3.xml"/><Relationship Id="rId61" Type="http://schemas.openxmlformats.org/officeDocument/2006/relationships/image" Target="media/image22.emf"/><Relationship Id="rId82" Type="http://schemas.openxmlformats.org/officeDocument/2006/relationships/package" Target="embeddings/Microsoft_Excel_Worksheet26.xlsx"/><Relationship Id="rId19" Type="http://schemas.openxmlformats.org/officeDocument/2006/relationships/package" Target="embeddings/Microsoft_Excel_Worksheet.xlsx"/><Relationship Id="rId14" Type="http://schemas.openxmlformats.org/officeDocument/2006/relationships/header" Target="header1.xml"/><Relationship Id="rId30" Type="http://schemas.openxmlformats.org/officeDocument/2006/relationships/package" Target="embeddings/Microsoft_Excel_Worksheet2.xlsx"/><Relationship Id="rId35" Type="http://schemas.openxmlformats.org/officeDocument/2006/relationships/image" Target="media/image9.emf"/><Relationship Id="rId56" Type="http://schemas.openxmlformats.org/officeDocument/2006/relationships/package" Target="embeddings/Microsoft_Excel_Worksheet15.xlsx"/><Relationship Id="rId77" Type="http://schemas.openxmlformats.org/officeDocument/2006/relationships/package" Target="embeddings/Microsoft_Excel_Worksheet25.xlsx"/><Relationship Id="rId100" Type="http://schemas.openxmlformats.org/officeDocument/2006/relationships/package" Target="embeddings/Microsoft_Excel_Worksheet34.xlsx"/><Relationship Id="rId105" Type="http://schemas.openxmlformats.org/officeDocument/2006/relationships/image" Target="media/image43.emf"/><Relationship Id="rId8" Type="http://schemas.openxmlformats.org/officeDocument/2006/relationships/webSettings" Target="webSettings.xml"/><Relationship Id="rId51" Type="http://schemas.openxmlformats.org/officeDocument/2006/relationships/image" Target="media/image17.emf"/><Relationship Id="rId72" Type="http://schemas.openxmlformats.org/officeDocument/2006/relationships/image" Target="media/image27.emf"/><Relationship Id="rId93" Type="http://schemas.openxmlformats.org/officeDocument/2006/relationships/image" Target="media/image37.emf"/><Relationship Id="rId98" Type="http://schemas.openxmlformats.org/officeDocument/2006/relationships/oleObject" Target="embeddings/Microsoft_Excel_97-2003_Worksheet1.xls"/><Relationship Id="rId3" Type="http://schemas.openxmlformats.org/officeDocument/2006/relationships/customXml" Target="../customXml/item3.xml"/><Relationship Id="rId25" Type="http://schemas.openxmlformats.org/officeDocument/2006/relationships/image" Target="media/image5.emf"/><Relationship Id="rId46" Type="http://schemas.openxmlformats.org/officeDocument/2006/relationships/package" Target="embeddings/Microsoft_Excel_Worksheet10.xlsx"/><Relationship Id="rId67" Type="http://schemas.openxmlformats.org/officeDocument/2006/relationships/image" Target="media/image25.emf"/><Relationship Id="rId116" Type="http://schemas.openxmlformats.org/officeDocument/2006/relationships/header" Target="header11.xml"/><Relationship Id="rId20" Type="http://schemas.openxmlformats.org/officeDocument/2006/relationships/comments" Target="comments.xml"/><Relationship Id="rId41" Type="http://schemas.openxmlformats.org/officeDocument/2006/relationships/image" Target="media/image12.emf"/><Relationship Id="rId62" Type="http://schemas.openxmlformats.org/officeDocument/2006/relationships/package" Target="embeddings/Microsoft_Excel_Worksheet18.xlsx"/><Relationship Id="rId83" Type="http://schemas.openxmlformats.org/officeDocument/2006/relationships/image" Target="media/image32.emf"/><Relationship Id="rId88" Type="http://schemas.openxmlformats.org/officeDocument/2006/relationships/package" Target="embeddings/Microsoft_Excel_Worksheet29.xlsx"/><Relationship Id="rId111" Type="http://schemas.openxmlformats.org/officeDocument/2006/relationships/header" Target="header8.xml"/><Relationship Id="rId15" Type="http://schemas.openxmlformats.org/officeDocument/2006/relationships/header" Target="header2.xml"/><Relationship Id="rId36" Type="http://schemas.openxmlformats.org/officeDocument/2006/relationships/package" Target="embeddings/Microsoft_Excel_Worksheet5.xlsx"/><Relationship Id="rId57" Type="http://schemas.openxmlformats.org/officeDocument/2006/relationships/image" Target="media/image20.emf"/><Relationship Id="rId106" Type="http://schemas.openxmlformats.org/officeDocument/2006/relationships/package" Target="embeddings/Microsoft_Excel_Worksheet37.xlsx"/></Relationships>
</file>

<file path=word/_rels/header6.xml.rels><?xml version="1.0" encoding="UTF-8" standalone="yes"?>
<Relationships xmlns="http://schemas.openxmlformats.org/package/2006/relationships"><Relationship Id="rId1"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0B1F2188880C4BAB689939B20D68FA" ma:contentTypeVersion="8" ma:contentTypeDescription="Create a new document." ma:contentTypeScope="" ma:versionID="a9166f76a48cfe535a0fb71b78c0905f">
  <xsd:schema xmlns:xsd="http://www.w3.org/2001/XMLSchema" xmlns:xs="http://www.w3.org/2001/XMLSchema" xmlns:p="http://schemas.microsoft.com/office/2006/metadata/properties" xmlns:ns2="069428b1-9709-469d-8ae1-c63ae11c40ea" xmlns:ns3="7af45b9c-b09d-4197-87ba-eb0b7500fd4f" targetNamespace="http://schemas.microsoft.com/office/2006/metadata/properties" ma:root="true" ma:fieldsID="cd94bf0173059bfbc4bdb1174ae7bcb6" ns2:_="" ns3:_="">
    <xsd:import namespace="069428b1-9709-469d-8ae1-c63ae11c40ea"/>
    <xsd:import namespace="7af45b9c-b09d-4197-87ba-eb0b7500fd4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428b1-9709-469d-8ae1-c63ae11c40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f45b9c-b09d-4197-87ba-eb0b7500fd4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CA5B72-A754-42D3-AA0F-2DD5E6D25CF7}">
  <ds:schemaRefs>
    <ds:schemaRef ds:uri="http://schemas.openxmlformats.org/officeDocument/2006/bibliography"/>
  </ds:schemaRefs>
</ds:datastoreItem>
</file>

<file path=customXml/itemProps2.xml><?xml version="1.0" encoding="utf-8"?>
<ds:datastoreItem xmlns:ds="http://schemas.openxmlformats.org/officeDocument/2006/customXml" ds:itemID="{7843ED3C-BA79-465F-8B5D-B94D45DDA04F}">
  <ds:schemaRefs>
    <ds:schemaRef ds:uri="http://schemas.microsoft.com/sharepoint/v3/contenttype/forms"/>
  </ds:schemaRefs>
</ds:datastoreItem>
</file>

<file path=customXml/itemProps3.xml><?xml version="1.0" encoding="utf-8"?>
<ds:datastoreItem xmlns:ds="http://schemas.openxmlformats.org/officeDocument/2006/customXml" ds:itemID="{0579B1EF-D054-4EE5-BA63-90CD93F83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428b1-9709-469d-8ae1-c63ae11c40ea"/>
    <ds:schemaRef ds:uri="7af45b9c-b09d-4197-87ba-eb0b7500f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139E32-5CEC-40F4-B8FD-CE68B7D7A7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63</Pages>
  <Words>19555</Words>
  <Characters>106185</Characters>
  <Application>Microsoft Office Word</Application>
  <DocSecurity>0</DocSecurity>
  <Lines>4084</Lines>
  <Paragraphs>1296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124444</CharactersWithSpaces>
  <SharedDoc>false</SharedDoc>
  <HLinks>
    <vt:vector size="42" baseType="variant">
      <vt:variant>
        <vt:i4>5439519</vt:i4>
      </vt:variant>
      <vt:variant>
        <vt:i4>138</vt:i4>
      </vt:variant>
      <vt:variant>
        <vt:i4>0</vt:i4>
      </vt:variant>
      <vt:variant>
        <vt:i4>5</vt:i4>
      </vt:variant>
      <vt:variant>
        <vt:lpwstr>http://www.auditor.nc.gov/about-us/state-auditors-tipline</vt:lpwstr>
      </vt:variant>
      <vt:variant>
        <vt:lpwstr/>
      </vt:variant>
      <vt:variant>
        <vt:i4>2621567</vt:i4>
      </vt:variant>
      <vt:variant>
        <vt:i4>135</vt:i4>
      </vt:variant>
      <vt:variant>
        <vt:i4>0</vt:i4>
      </vt:variant>
      <vt:variant>
        <vt:i4>5</vt:i4>
      </vt:variant>
      <vt:variant>
        <vt:lpwstr>http://www.auditor.nc.gov/</vt:lpwstr>
      </vt:variant>
      <vt:variant>
        <vt:lpwstr/>
      </vt:variant>
      <vt:variant>
        <vt:i4>6750307</vt:i4>
      </vt:variant>
      <vt:variant>
        <vt:i4>93</vt:i4>
      </vt:variant>
      <vt:variant>
        <vt:i4>0</vt:i4>
      </vt:variant>
      <vt:variant>
        <vt:i4>5</vt:i4>
      </vt:variant>
      <vt:variant>
        <vt:lpwstr>https://www.osc.nc.gov/</vt:lpwstr>
      </vt:variant>
      <vt:variant>
        <vt:lpwstr/>
      </vt:variant>
      <vt:variant>
        <vt:i4>6750307</vt:i4>
      </vt:variant>
      <vt:variant>
        <vt:i4>75</vt:i4>
      </vt:variant>
      <vt:variant>
        <vt:i4>0</vt:i4>
      </vt:variant>
      <vt:variant>
        <vt:i4>5</vt:i4>
      </vt:variant>
      <vt:variant>
        <vt:lpwstr>https://www.osc.nc.gov/</vt:lpwstr>
      </vt:variant>
      <vt:variant>
        <vt:lpwstr/>
      </vt:variant>
      <vt:variant>
        <vt:i4>4587586</vt:i4>
      </vt:variant>
      <vt:variant>
        <vt:i4>12</vt:i4>
      </vt:variant>
      <vt:variant>
        <vt:i4>0</vt:i4>
      </vt:variant>
      <vt:variant>
        <vt:i4>5</vt:i4>
      </vt:variant>
      <vt:variant>
        <vt:lpwstr>https://www.nctreasurer.com/</vt:lpwstr>
      </vt:variant>
      <vt:variant>
        <vt:lpwstr/>
      </vt:variant>
      <vt:variant>
        <vt:i4>4587586</vt:i4>
      </vt:variant>
      <vt:variant>
        <vt:i4>9</vt:i4>
      </vt:variant>
      <vt:variant>
        <vt:i4>0</vt:i4>
      </vt:variant>
      <vt:variant>
        <vt:i4>5</vt:i4>
      </vt:variant>
      <vt:variant>
        <vt:lpwstr>https://www.nctreasurer.com/</vt:lpwstr>
      </vt:variant>
      <vt:variant>
        <vt:lpwstr/>
      </vt:variant>
      <vt:variant>
        <vt:i4>4587586</vt:i4>
      </vt:variant>
      <vt:variant>
        <vt:i4>3</vt:i4>
      </vt:variant>
      <vt:variant>
        <vt:i4>0</vt:i4>
      </vt:variant>
      <vt:variant>
        <vt:i4>5</vt:i4>
      </vt:variant>
      <vt:variant>
        <vt:lpwstr>https://www.nctreasurer.com/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Rogers</dc:creator>
  <cp:keywords/>
  <dc:description/>
  <cp:lastModifiedBy>David Ehricht</cp:lastModifiedBy>
  <cp:revision>9</cp:revision>
  <cp:lastPrinted>2019-08-06T22:39:00Z</cp:lastPrinted>
  <dcterms:created xsi:type="dcterms:W3CDTF">2026-06-16T16:13:00Z</dcterms:created>
  <dcterms:modified xsi:type="dcterms:W3CDTF">2026-06-18T17:59:00Z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0x010100400B1F2188880C4BAB689939B20D68FA</vt:lpwstr>
  </property>
  <property fmtid="{D5CDD505-2E9C-101B-9397-08002B2CF9AE}" pid="3" name="Version">
    <vt:i4>20</vt:i4>
  </property>
  <property fmtid="{D5CDD505-2E9C-101B-9397-08002B2CF9AE}" pid="4" name="tabName">
    <vt:lpwstr>Community College</vt:lpwstr>
  </property>
  <property fmtid="{D5CDD505-2E9C-101B-9397-08002B2CF9AE}" pid="5" name="tabIndex">
    <vt:lpwstr>0300B</vt:lpwstr>
  </property>
  <property fmtid="{D5CDD505-2E9C-101B-9397-08002B2CF9AE}" pid="6" name="workpaperIndex">
    <vt:lpwstr>0300B.02</vt:lpwstr>
  </property>
</Properties>
</file>