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519B8" w14:textId="38507DE5" w:rsidR="002B0FE3" w:rsidRPr="005558B6" w:rsidRDefault="002B0FE3" w:rsidP="002B0FE3">
      <w:pPr>
        <w:spacing w:after="240" w:line="240" w:lineRule="auto"/>
        <w:jc w:val="both"/>
        <w:rPr>
          <w:rFonts w:ascii="Arial" w:eastAsia="Times New Roman" w:hAnsi="Arial" w:cs="Arial"/>
          <w:b/>
          <w:i/>
          <w:color w:val="0000FF"/>
          <w:szCs w:val="24"/>
        </w:rPr>
      </w:pPr>
      <w:r w:rsidRPr="005A31CF">
        <w:rPr>
          <w:rFonts w:ascii="Arial" w:eastAsia="Times New Roman" w:hAnsi="Arial" w:cs="Arial"/>
          <w:b/>
          <w:i/>
          <w:color w:val="0000FF"/>
          <w:szCs w:val="24"/>
        </w:rPr>
        <w:t xml:space="preserve">[Disclaimer: The Community College pro forma is designed as a guide for the most </w:t>
      </w:r>
      <w:r w:rsidRPr="005558B6">
        <w:rPr>
          <w:rFonts w:ascii="Arial" w:eastAsia="Times New Roman" w:hAnsi="Arial" w:cs="Arial"/>
          <w:b/>
          <w:i/>
          <w:color w:val="0000FF"/>
          <w:szCs w:val="24"/>
        </w:rPr>
        <w:t>common scenarios encountered by colleges; however, financial reporting responsibility rests solely with the preparer.</w:t>
      </w:r>
      <w:r w:rsidR="00BB2932" w:rsidRPr="005558B6">
        <w:rPr>
          <w:rFonts w:ascii="Arial" w:eastAsia="Times New Roman" w:hAnsi="Arial" w:cs="Arial"/>
          <w:b/>
          <w:i/>
          <w:color w:val="0000FF"/>
          <w:szCs w:val="24"/>
        </w:rPr>
        <w:t xml:space="preserve"> The pro forma includes only the common disclosures within the Community College system. Refer to the GASB Codification for full disclosure requirements. Additionally, the pro forma </w:t>
      </w:r>
      <w:r w:rsidR="00BB2932" w:rsidRPr="005558B6">
        <w:rPr>
          <w:rFonts w:ascii="Arial" w:eastAsia="Times New Roman" w:hAnsi="Arial" w:cs="Arial"/>
          <w:b/>
          <w:i/>
          <w:color w:val="FF0000"/>
          <w:szCs w:val="24"/>
          <w:u w:val="single"/>
        </w:rPr>
        <w:t>does not include the presentation of separate statements for fiduciary funds per GASB 84</w:t>
      </w:r>
      <w:r w:rsidR="00BB2932" w:rsidRPr="005558B6">
        <w:rPr>
          <w:rFonts w:ascii="Arial" w:eastAsia="Times New Roman" w:hAnsi="Arial" w:cs="Arial"/>
          <w:b/>
          <w:i/>
          <w:color w:val="0000FF"/>
          <w:szCs w:val="24"/>
        </w:rPr>
        <w:t>. Refer to the University pro forma for example presentation.</w:t>
      </w:r>
      <w:r w:rsidRPr="005558B6">
        <w:rPr>
          <w:rFonts w:ascii="Arial" w:eastAsia="Times New Roman" w:hAnsi="Arial" w:cs="Arial"/>
          <w:b/>
          <w:i/>
          <w:color w:val="0000FF"/>
          <w:szCs w:val="24"/>
        </w:rPr>
        <w:t>]</w:t>
      </w:r>
    </w:p>
    <w:p w14:paraId="776860C9" w14:textId="6C49FA1C" w:rsidR="002B0FE3" w:rsidRPr="005A31CF" w:rsidRDefault="00BB2932" w:rsidP="002B0FE3">
      <w:pPr>
        <w:spacing w:after="240" w:line="240" w:lineRule="auto"/>
        <w:jc w:val="both"/>
        <w:rPr>
          <w:rFonts w:ascii="Arial" w:eastAsia="Times New Roman" w:hAnsi="Arial" w:cs="Arial"/>
          <w:b/>
          <w:i/>
          <w:color w:val="0000FF"/>
          <w:szCs w:val="24"/>
        </w:rPr>
      </w:pPr>
      <w:r w:rsidRPr="005558B6">
        <w:rPr>
          <w:rFonts w:ascii="Arial" w:eastAsia="Times New Roman" w:hAnsi="Arial" w:cs="Arial"/>
          <w:b/>
          <w:i/>
          <w:color w:val="0000FF"/>
          <w:szCs w:val="24"/>
        </w:rPr>
        <w:t xml:space="preserve"> </w:t>
      </w:r>
      <w:r w:rsidR="002B0FE3" w:rsidRPr="005558B6">
        <w:rPr>
          <w:rFonts w:ascii="Arial" w:eastAsia="Times New Roman" w:hAnsi="Arial" w:cs="Arial"/>
          <w:b/>
          <w:i/>
          <w:color w:val="0000FF"/>
          <w:szCs w:val="24"/>
        </w:rPr>
        <w:t xml:space="preserve">[Note to Preparer: If preparing rounded statements </w:t>
      </w:r>
      <w:r w:rsidR="002B0FE3" w:rsidRPr="005558B6">
        <w:rPr>
          <w:rFonts w:ascii="Arial" w:eastAsia="Times New Roman" w:hAnsi="Arial" w:cs="Arial"/>
          <w:b/>
          <w:i/>
          <w:color w:val="FF0000"/>
          <w:szCs w:val="24"/>
          <w:u w:val="single"/>
        </w:rPr>
        <w:t>ensure that all cents are removed from cell values entirely</w:t>
      </w:r>
      <w:r w:rsidR="002B0FE3" w:rsidRPr="005558B6">
        <w:rPr>
          <w:rFonts w:ascii="Arial" w:eastAsia="Times New Roman" w:hAnsi="Arial" w:cs="Arial"/>
          <w:b/>
          <w:i/>
          <w:color w:val="0000FF"/>
          <w:szCs w:val="24"/>
        </w:rPr>
        <w:t xml:space="preserve"> (i.e. do not just </w:t>
      </w:r>
      <w:r w:rsidR="00731203" w:rsidRPr="00731203">
        <w:rPr>
          <w:rFonts w:ascii="Arial" w:eastAsia="Times New Roman" w:hAnsi="Arial" w:cs="Arial"/>
          <w:b/>
          <w:i/>
          <w:color w:val="0000FF"/>
          <w:szCs w:val="24"/>
          <w:highlight w:val="yellow"/>
        </w:rPr>
        <w:t>hide cents</w:t>
      </w:r>
      <w:r w:rsidR="002B0FE3" w:rsidRPr="005558B6">
        <w:rPr>
          <w:rFonts w:ascii="Arial" w:eastAsia="Times New Roman" w:hAnsi="Arial" w:cs="Arial"/>
          <w:b/>
          <w:i/>
          <w:color w:val="0000FF"/>
          <w:szCs w:val="24"/>
        </w:rPr>
        <w:t xml:space="preserve"> via cell formatting) to ensure charts will properly foot and crossfoot.]</w:t>
      </w:r>
    </w:p>
    <w:p w14:paraId="7F0568C5" w14:textId="77777777" w:rsidR="00A66832" w:rsidRPr="00A66832" w:rsidRDefault="00A66832" w:rsidP="00A66832">
      <w:pPr>
        <w:keepNext/>
        <w:tabs>
          <w:tab w:val="left" w:pos="900"/>
          <w:tab w:val="left" w:pos="1080"/>
        </w:tabs>
        <w:spacing w:before="24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w:t>
      </w:r>
      <w:r w:rsidRPr="00A66832">
        <w:rPr>
          <w:rFonts w:ascii="Arial Bold" w:eastAsia="Times New Roman" w:hAnsi="Arial Bold" w:cs="Times New Roman"/>
          <w:b/>
          <w:smallCaps/>
          <w:kern w:val="28"/>
          <w:szCs w:val="20"/>
        </w:rPr>
        <w:tab/>
      </w:r>
      <w:r w:rsidRPr="00A66832">
        <w:rPr>
          <w:rFonts w:ascii="Arial" w:eastAsia="Times New Roman" w:hAnsi="Arial" w:cs="Arial"/>
          <w:smallCaps/>
          <w:kern w:val="28"/>
          <w:szCs w:val="20"/>
        </w:rPr>
        <w:t>-</w:t>
      </w:r>
      <w:r w:rsidRPr="00A66832">
        <w:rPr>
          <w:rFonts w:ascii="Arial Bold" w:eastAsia="Times New Roman" w:hAnsi="Arial Bold" w:cs="Times New Roman"/>
          <w:b/>
          <w:smallCaps/>
          <w:kern w:val="28"/>
          <w:szCs w:val="20"/>
        </w:rPr>
        <w:t xml:space="preserve"> </w:t>
      </w:r>
      <w:r w:rsidRPr="00A66832">
        <w:rPr>
          <w:rFonts w:ascii="Arial Bold" w:eastAsia="Times New Roman" w:hAnsi="Arial Bold" w:cs="Times New Roman"/>
          <w:b/>
          <w:smallCaps/>
          <w:kern w:val="28"/>
          <w:szCs w:val="20"/>
        </w:rPr>
        <w:tab/>
        <w:t>Significant Accounting Policies</w:t>
      </w:r>
    </w:p>
    <w:p w14:paraId="5152A03F" w14:textId="77777777" w:rsidR="005558B6" w:rsidRPr="005A31CF" w:rsidRDefault="005558B6" w:rsidP="00DC73A5">
      <w:pPr>
        <w:spacing w:after="240" w:line="240" w:lineRule="auto"/>
        <w:ind w:left="360" w:hanging="360"/>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Financial Reporting Entity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concept underlying the definition of the financial reporting entity is that elected officials are accountable to their constituents for their actions. As required by accounting principles generally accepted in the United States of America (GAAP), the financial reporting entity includes both the primary government and all of its component units. An organization other than a primary government serves as a nucleus for a reporting entity when it issues separate financial statements. *1 (College) is a component unit of the State of North Carolina and an integral part of the State’s </w:t>
      </w:r>
      <w:r w:rsidRPr="005B66EC">
        <w:rPr>
          <w:rFonts w:ascii="Arial" w:eastAsia="Times New Roman" w:hAnsi="Arial" w:cs="Arial"/>
          <w:i/>
          <w:highlight w:val="yellow"/>
        </w:rPr>
        <w:t>Annual Comprehensive</w:t>
      </w:r>
      <w:r w:rsidRPr="00026DE7">
        <w:rPr>
          <w:rFonts w:ascii="Arial" w:eastAsia="Times New Roman" w:hAnsi="Arial" w:cs="Arial"/>
          <w:i/>
        </w:rPr>
        <w:t xml:space="preserve"> Financial Report</w:t>
      </w:r>
      <w:r w:rsidRPr="005A31CF">
        <w:rPr>
          <w:rFonts w:ascii="Arial" w:eastAsia="Times New Roman" w:hAnsi="Arial" w:cs="Arial"/>
        </w:rPr>
        <w:t>.</w:t>
      </w:r>
    </w:p>
    <w:p w14:paraId="69DA6C5F" w14:textId="77777777" w:rsidR="005558B6" w:rsidRPr="005A31CF" w:rsidRDefault="005558B6" w:rsidP="00DC73A5">
      <w:pPr>
        <w:spacing w:after="240" w:line="240" w:lineRule="auto"/>
        <w:ind w:left="360"/>
        <w:jc w:val="both"/>
        <w:rPr>
          <w:rFonts w:ascii="Arial" w:eastAsia="Times New Roman" w:hAnsi="Arial" w:cs="Arial"/>
        </w:rPr>
      </w:pPr>
      <w:r w:rsidRPr="005A31CF">
        <w:rPr>
          <w:rFonts w:ascii="Arial" w:eastAsia="Times New Roman" w:hAnsi="Arial" w:cs="Arial"/>
        </w:rPr>
        <w:t>The accompanying financial statements present all funds for which the College’s Board of Trustees is financially accountable. Related foundations and similar nonprofit corporations for which the College is not financially accountable or for which the nature of their relationship is not considered significant to the College are not part of the accompanying financial statements.</w:t>
      </w:r>
    </w:p>
    <w:p w14:paraId="7B7C7065" w14:textId="77777777" w:rsidR="005558B6" w:rsidRPr="005A31CF" w:rsidRDefault="005558B6" w:rsidP="00DC73A5">
      <w:pPr>
        <w:tabs>
          <w:tab w:val="left" w:pos="1560"/>
        </w:tabs>
        <w:spacing w:after="240" w:line="240" w:lineRule="auto"/>
        <w:ind w:left="360"/>
        <w:jc w:val="center"/>
        <w:rPr>
          <w:rFonts w:ascii="Arial" w:eastAsia="Times New Roman" w:hAnsi="Arial" w:cs="Arial"/>
          <w:b/>
          <w:i/>
          <w:color w:val="0000FF"/>
        </w:rPr>
      </w:pPr>
      <w:r w:rsidRPr="005A31CF">
        <w:rPr>
          <w:rFonts w:ascii="Arial" w:eastAsia="Times New Roman" w:hAnsi="Arial" w:cs="Arial"/>
          <w:b/>
          <w:i/>
          <w:color w:val="0000FF"/>
        </w:rPr>
        <w:t>OR</w:t>
      </w:r>
    </w:p>
    <w:p w14:paraId="6FF0C481" w14:textId="77777777" w:rsidR="005558B6" w:rsidRPr="005A31CF" w:rsidRDefault="005558B6" w:rsidP="00DC73A5">
      <w:pPr>
        <w:spacing w:after="240" w:line="240" w:lineRule="auto"/>
        <w:ind w:left="360"/>
        <w:jc w:val="center"/>
        <w:rPr>
          <w:rFonts w:ascii="Arial" w:eastAsia="Times New Roman" w:hAnsi="Arial" w:cs="Arial"/>
          <w:b/>
          <w:i/>
          <w:color w:val="0000FF"/>
        </w:rPr>
      </w:pPr>
      <w:r w:rsidRPr="005B66EC">
        <w:rPr>
          <w:rFonts w:ascii="Arial" w:hAnsi="Arial" w:cs="Arial"/>
          <w:b/>
          <w:i/>
          <w:color w:val="0000FF"/>
        </w:rPr>
        <w:t>[If the College has a component unit use this option.]</w:t>
      </w:r>
    </w:p>
    <w:p w14:paraId="02AF85C6" w14:textId="77777777" w:rsidR="005558B6" w:rsidRPr="00641103" w:rsidRDefault="005558B6" w:rsidP="00DC73A5">
      <w:pPr>
        <w:spacing w:after="240" w:line="240" w:lineRule="auto"/>
        <w:ind w:left="360" w:hanging="360"/>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Financial Reporting Entity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concept underlying the definition of the financial reporting entity is that elected officials are accountable to their constituents for their actions. As required by accounting principles generally accepted in the </w:t>
      </w:r>
      <w:r w:rsidRPr="00641103">
        <w:rPr>
          <w:rFonts w:ascii="Arial" w:eastAsia="Times New Roman" w:hAnsi="Arial" w:cs="Arial"/>
        </w:rPr>
        <w:t>United States of America (GAAP), the financial reporting entity includes both the primary government and all of its component units. An organization other than a primary government serves as a nucleus for a reporting entity when it issues separate financial statements. *1 (College)</w:t>
      </w:r>
      <w:r w:rsidRPr="00641103">
        <w:rPr>
          <w:rFonts w:ascii="Arial" w:eastAsia="Times New Roman" w:hAnsi="Arial" w:cs="Arial"/>
          <w:color w:val="FF0000"/>
        </w:rPr>
        <w:t xml:space="preserve"> </w:t>
      </w:r>
      <w:r w:rsidRPr="00641103">
        <w:rPr>
          <w:rFonts w:ascii="Arial" w:eastAsia="Times New Roman" w:hAnsi="Arial" w:cs="Arial"/>
        </w:rPr>
        <w:t xml:space="preserve">is a component </w:t>
      </w:r>
      <w:r w:rsidRPr="00026DE7">
        <w:rPr>
          <w:rFonts w:ascii="Arial" w:eastAsia="Times New Roman" w:hAnsi="Arial" w:cs="Arial"/>
        </w:rPr>
        <w:t xml:space="preserve">unit of the State of North Carolina and an integral part of the State’s </w:t>
      </w:r>
      <w:r w:rsidRPr="005B66EC">
        <w:rPr>
          <w:rFonts w:ascii="Arial" w:eastAsia="Times New Roman" w:hAnsi="Arial" w:cs="Arial"/>
          <w:i/>
          <w:highlight w:val="yellow"/>
        </w:rPr>
        <w:t>Annual Comprehensive</w:t>
      </w:r>
      <w:r w:rsidRPr="00026DE7">
        <w:rPr>
          <w:rFonts w:ascii="Arial" w:eastAsia="Times New Roman" w:hAnsi="Arial" w:cs="Arial"/>
          <w:i/>
        </w:rPr>
        <w:t xml:space="preserve"> Financial Report</w:t>
      </w:r>
      <w:r w:rsidRPr="00026DE7">
        <w:rPr>
          <w:rFonts w:ascii="Arial" w:eastAsia="Times New Roman" w:hAnsi="Arial" w:cs="Arial"/>
        </w:rPr>
        <w:t>.</w:t>
      </w:r>
    </w:p>
    <w:p w14:paraId="22ABA89D" w14:textId="77777777" w:rsidR="005558B6" w:rsidRPr="00641103" w:rsidRDefault="005558B6" w:rsidP="00DC73A5">
      <w:pPr>
        <w:spacing w:after="240" w:line="240" w:lineRule="auto"/>
        <w:ind w:left="360"/>
        <w:jc w:val="both"/>
        <w:rPr>
          <w:rFonts w:ascii="Arial" w:eastAsia="Times New Roman" w:hAnsi="Arial" w:cs="Arial"/>
          <w:b/>
          <w:bCs/>
          <w:i/>
          <w:iCs/>
          <w:color w:val="0000FF"/>
        </w:rPr>
      </w:pPr>
      <w:r w:rsidRPr="00641103">
        <w:rPr>
          <w:rFonts w:ascii="Arial" w:eastAsia="Times New Roman" w:hAnsi="Arial" w:cs="Arial"/>
        </w:rPr>
        <w:t>The accompanying financial statements present all funds of the College and its component units for which the College’s Board of Trustees is financially accountable. The College’s component units are either blended or discretely presented in the College’s financial statements. See below for further discussion of the College’s component units.</w:t>
      </w:r>
      <w:r w:rsidRPr="00641103">
        <w:rPr>
          <w:rFonts w:ascii="Arial" w:hAnsi="Arial" w:cs="Arial"/>
        </w:rPr>
        <w:t xml:space="preserve"> Other related foundations and similar nonprofit corporations for which the College is not financially accountable are not part of the accompanying financial statements.</w:t>
      </w:r>
    </w:p>
    <w:p w14:paraId="2E7064E8" w14:textId="77777777" w:rsidR="005558B6" w:rsidRPr="00641103" w:rsidRDefault="005558B6" w:rsidP="00DC73A5">
      <w:pPr>
        <w:spacing w:after="240" w:line="240" w:lineRule="auto"/>
        <w:ind w:left="360"/>
        <w:jc w:val="both"/>
        <w:rPr>
          <w:rFonts w:ascii="Arial" w:eastAsia="Times New Roman" w:hAnsi="Arial" w:cs="Arial"/>
          <w:b/>
          <w:bCs/>
          <w:i/>
          <w:iCs/>
        </w:rPr>
      </w:pPr>
      <w:r w:rsidRPr="00641103">
        <w:rPr>
          <w:rFonts w:ascii="Arial" w:eastAsia="Times New Roman" w:hAnsi="Arial" w:cs="Arial"/>
        </w:rPr>
        <w:t xml:space="preserve">Financial statements for the College and its blended and discretely presented component units are presented as of and for the fiscal year ended June 30, </w:t>
      </w:r>
      <w:r>
        <w:rPr>
          <w:rFonts w:ascii="Arial" w:eastAsia="Times New Roman" w:hAnsi="Arial" w:cs="Arial"/>
        </w:rPr>
        <w:t>2022</w:t>
      </w:r>
      <w:r w:rsidRPr="00641103">
        <w:rPr>
          <w:rFonts w:ascii="Arial" w:eastAsia="Times New Roman" w:hAnsi="Arial" w:cs="Arial"/>
        </w:rPr>
        <w:t xml:space="preserve">, except for </w:t>
      </w:r>
      <w:r w:rsidRPr="00641103">
        <w:rPr>
          <w:rFonts w:ascii="Arial" w:eastAsia="Times New Roman" w:hAnsi="Arial" w:cs="Arial"/>
        </w:rPr>
        <w:lastRenderedPageBreak/>
        <w:t xml:space="preserve">___________ Foundation whose financial statements are as of and for the fiscal year ended ________. </w:t>
      </w:r>
      <w:r w:rsidRPr="00641103">
        <w:rPr>
          <w:rFonts w:ascii="Arial" w:eastAsia="Times New Roman" w:hAnsi="Arial" w:cs="Arial"/>
          <w:b/>
          <w:bCs/>
          <w:i/>
          <w:color w:val="0000FF"/>
        </w:rPr>
        <w:t>[Omit this paragraph if no differing fiscal year ends.]</w:t>
      </w:r>
    </w:p>
    <w:p w14:paraId="28DBE8E8" w14:textId="77777777" w:rsidR="005558B6" w:rsidRPr="00641103" w:rsidRDefault="005558B6" w:rsidP="00DC73A5">
      <w:pPr>
        <w:spacing w:after="240" w:line="240" w:lineRule="auto"/>
        <w:ind w:left="360"/>
        <w:jc w:val="both"/>
        <w:rPr>
          <w:rFonts w:ascii="Arial" w:eastAsia="Times New Roman" w:hAnsi="Arial" w:cs="Arial"/>
          <w:b/>
          <w:i/>
          <w:color w:val="0000FF"/>
        </w:rPr>
      </w:pPr>
      <w:r w:rsidRPr="00641103">
        <w:rPr>
          <w:rFonts w:ascii="Arial" w:eastAsia="Times New Roman" w:hAnsi="Arial" w:cs="Arial"/>
          <w:b/>
          <w:i/>
          <w:color w:val="0000FF"/>
        </w:rPr>
        <w:t xml:space="preserve">[Provide a brief description of the component units, and explain their relationship to the primary government, the rationale for including each component unit in the reporting entity, and how to obtain a copy of their financial statements </w:t>
      </w:r>
      <w:r w:rsidRPr="00641103">
        <w:rPr>
          <w:rFonts w:ascii="Arial" w:eastAsia="Times New Roman" w:hAnsi="Arial" w:cs="Arial"/>
          <w:i/>
          <w:color w:val="0000FF"/>
        </w:rPr>
        <w:t>-</w:t>
      </w:r>
      <w:r w:rsidRPr="00641103">
        <w:rPr>
          <w:rFonts w:ascii="Arial" w:eastAsia="Times New Roman" w:hAnsi="Arial" w:cs="Arial"/>
          <w:b/>
          <w:i/>
          <w:color w:val="0000FF"/>
        </w:rPr>
        <w:t xml:space="preserve"> examples follow </w:t>
      </w:r>
      <w:r w:rsidRPr="00641103">
        <w:rPr>
          <w:rFonts w:ascii="Arial" w:eastAsia="Times New Roman" w:hAnsi="Arial" w:cs="Arial"/>
          <w:i/>
          <w:color w:val="0000FF"/>
        </w:rPr>
        <w:t>-</w:t>
      </w:r>
      <w:r w:rsidRPr="00641103">
        <w:rPr>
          <w:rFonts w:ascii="Arial" w:eastAsia="Times New Roman" w:hAnsi="Arial" w:cs="Arial"/>
          <w:b/>
          <w:i/>
          <w:color w:val="0000FF"/>
        </w:rPr>
        <w:t xml:space="preserve"> MODIFY AS NECESSARY.]</w:t>
      </w:r>
    </w:p>
    <w:p w14:paraId="1782D0D8"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b/>
          <w:bCs/>
        </w:rPr>
        <w:t>Blended Component Unit</w:t>
      </w:r>
      <w:r w:rsidRPr="00641103">
        <w:rPr>
          <w:rFonts w:ascii="Arial" w:eastAsia="Times New Roman" w:hAnsi="Arial" w:cs="Arial"/>
          <w:b/>
          <w:bCs/>
          <w:i/>
        </w:rPr>
        <w:t>(s)</w:t>
      </w:r>
      <w:r w:rsidRPr="00641103">
        <w:rPr>
          <w:rFonts w:ascii="Arial" w:eastAsia="Times New Roman" w:hAnsi="Arial" w:cs="Arial"/>
          <w:b/>
          <w:bCs/>
        </w:rPr>
        <w:t xml:space="preserve">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Although legally separate, _____________ Foundation is reported as if it was part of the College. The Foundation is governed by a __-member board consisting of __ ex officio directors and ___ elected directors. The Foundation’s purpose is to aid, support, and promote teaching, research, and service in the various educational, scientific, scholarly, professional, artistic, and creative endeavors of the College. Because the elected directors of the Foundation are appointed by the members of the *1 Board of Trustees and the Foundation’s sole purpose is to benefit *1, its financial statements have been blended with those of the College.</w:t>
      </w:r>
    </w:p>
    <w:p w14:paraId="1092A9AA"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rPr>
        <w:t xml:space="preserve">Separate financial statements for the Foundation may be obtained from the College Controller’s Office, </w:t>
      </w:r>
      <w:r w:rsidRPr="00641103">
        <w:rPr>
          <w:rFonts w:ascii="Arial" w:eastAsia="Times New Roman" w:hAnsi="Arial" w:cs="Arial"/>
          <w:b/>
          <w:bCs/>
          <w:color w:val="0000FF"/>
        </w:rPr>
        <w:t>[provide address]</w:t>
      </w:r>
      <w:r w:rsidRPr="00641103">
        <w:rPr>
          <w:rFonts w:ascii="Arial" w:eastAsia="Times New Roman" w:hAnsi="Arial" w:cs="Arial"/>
          <w:bCs/>
        </w:rPr>
        <w:t>,</w:t>
      </w:r>
      <w:r w:rsidRPr="00641103">
        <w:rPr>
          <w:rFonts w:ascii="Arial" w:eastAsia="Times New Roman" w:hAnsi="Arial" w:cs="Arial"/>
        </w:rPr>
        <w:t xml:space="preserve"> or by calling </w:t>
      </w:r>
      <w:r w:rsidRPr="00641103">
        <w:rPr>
          <w:rFonts w:ascii="Arial" w:eastAsia="Times New Roman" w:hAnsi="Arial" w:cs="Arial"/>
          <w:b/>
          <w:bCs/>
          <w:color w:val="0000FF"/>
        </w:rPr>
        <w:t>[provide telephone number]</w:t>
      </w:r>
      <w:r w:rsidRPr="00641103">
        <w:rPr>
          <w:rFonts w:ascii="Arial" w:eastAsia="Times New Roman" w:hAnsi="Arial" w:cs="Arial"/>
          <w:bCs/>
          <w:color w:val="000000"/>
        </w:rPr>
        <w:t>.</w:t>
      </w:r>
      <w:r w:rsidRPr="00641103">
        <w:rPr>
          <w:rFonts w:ascii="Arial" w:eastAsia="Times New Roman" w:hAnsi="Arial" w:cs="Arial"/>
        </w:rPr>
        <w:t xml:space="preserve"> </w:t>
      </w:r>
    </w:p>
    <w:p w14:paraId="6583A543" w14:textId="77777777" w:rsidR="005558B6" w:rsidRPr="00641103" w:rsidRDefault="005558B6" w:rsidP="00DC73A5">
      <w:pPr>
        <w:tabs>
          <w:tab w:val="left" w:pos="1710"/>
          <w:tab w:val="left" w:pos="1890"/>
        </w:tabs>
        <w:spacing w:after="240" w:line="240" w:lineRule="auto"/>
        <w:ind w:left="360"/>
        <w:jc w:val="both"/>
        <w:rPr>
          <w:rFonts w:ascii="Arial" w:eastAsia="Times New Roman" w:hAnsi="Arial" w:cs="Arial"/>
        </w:rPr>
      </w:pPr>
      <w:r w:rsidRPr="00641103">
        <w:rPr>
          <w:rFonts w:ascii="Arial" w:eastAsia="Times New Roman" w:hAnsi="Arial" w:cs="Arial"/>
        </w:rPr>
        <w:t xml:space="preserve">Condensed combining information regarding blended component units is provided in Note </w:t>
      </w:r>
      <w:r w:rsidRPr="00D21499">
        <w:rPr>
          <w:rFonts w:ascii="Arial" w:eastAsia="Times New Roman" w:hAnsi="Arial" w:cs="Arial"/>
          <w:b/>
          <w:color w:val="0000FF"/>
        </w:rPr>
        <w:t>XX</w:t>
      </w:r>
      <w:r w:rsidRPr="00641103">
        <w:rPr>
          <w:rFonts w:ascii="Arial" w:eastAsia="Times New Roman" w:hAnsi="Arial" w:cs="Arial"/>
        </w:rPr>
        <w:t>.</w:t>
      </w:r>
    </w:p>
    <w:p w14:paraId="0667F8A0" w14:textId="77777777" w:rsidR="005558B6" w:rsidRPr="00641103" w:rsidRDefault="005558B6" w:rsidP="00DC73A5">
      <w:pPr>
        <w:spacing w:after="240" w:line="240" w:lineRule="auto"/>
        <w:ind w:left="360"/>
        <w:jc w:val="both"/>
        <w:rPr>
          <w:rFonts w:ascii="Arial" w:eastAsia="Times New Roman" w:hAnsi="Arial" w:cs="Arial"/>
          <w:b/>
          <w:i/>
          <w:color w:val="0000FF"/>
        </w:rPr>
      </w:pPr>
      <w:bookmarkStart w:id="0" w:name="SigTransB"/>
      <w:r w:rsidRPr="00641103">
        <w:rPr>
          <w:rFonts w:ascii="Arial" w:eastAsia="Times New Roman" w:hAnsi="Arial" w:cs="Arial"/>
          <w:b/>
          <w:i/>
          <w:color w:val="0000FF"/>
        </w:rPr>
        <w:t>[Disclose all significant transactions between the College and its major blended component units in Note 2</w:t>
      </w:r>
      <w:r w:rsidRPr="005B66EC">
        <w:rPr>
          <w:rFonts w:ascii="Arial" w:eastAsia="Times New Roman" w:hAnsi="Arial" w:cs="Arial"/>
          <w:b/>
          <w:i/>
          <w:color w:val="0000FF"/>
          <w:highlight w:val="yellow"/>
        </w:rPr>
        <w:t>0</w:t>
      </w:r>
      <w:r w:rsidRPr="00641103">
        <w:rPr>
          <w:rFonts w:ascii="Arial" w:eastAsia="Times New Roman" w:hAnsi="Arial" w:cs="Arial"/>
          <w:b/>
          <w:i/>
          <w:color w:val="0000FF"/>
        </w:rPr>
        <w:t xml:space="preserve"> of the Pro Forma.]</w:t>
      </w:r>
      <w:bookmarkEnd w:id="0"/>
    </w:p>
    <w:p w14:paraId="5DB9BA36"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b/>
          <w:bCs/>
        </w:rPr>
        <w:t>Discretely Presented Component Unit</w:t>
      </w:r>
      <w:r w:rsidRPr="00641103">
        <w:rPr>
          <w:rFonts w:ascii="Arial" w:eastAsia="Times New Roman" w:hAnsi="Arial" w:cs="Arial"/>
          <w:b/>
          <w:bCs/>
          <w:i/>
        </w:rPr>
        <w:t>(s)</w:t>
      </w:r>
      <w:r w:rsidRPr="00641103">
        <w:rPr>
          <w:rFonts w:ascii="Arial" w:eastAsia="Times New Roman" w:hAnsi="Arial" w:cs="Arial"/>
          <w:b/>
          <w:bCs/>
        </w:rPr>
        <w:t xml:space="preserve">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__________ Foundation and ____________ Foundation are legally separate, nonprofit corporations and are reported as discretely presented component units based on the nature and significance of their relationship to the College.</w:t>
      </w:r>
    </w:p>
    <w:p w14:paraId="39298A47" w14:textId="77777777" w:rsidR="005558B6" w:rsidRPr="00641103" w:rsidRDefault="005558B6" w:rsidP="00DC73A5">
      <w:pPr>
        <w:spacing w:after="240" w:line="240" w:lineRule="auto"/>
        <w:ind w:left="360"/>
        <w:jc w:val="both"/>
        <w:rPr>
          <w:rFonts w:ascii="Arial" w:eastAsia="Times New Roman" w:hAnsi="Arial" w:cs="Arial"/>
          <w:b/>
          <w:i/>
          <w:color w:val="0000FF"/>
        </w:rPr>
      </w:pPr>
      <w:r w:rsidRPr="00641103">
        <w:rPr>
          <w:rFonts w:ascii="Arial" w:eastAsia="Times New Roman" w:hAnsi="Arial" w:cs="Arial"/>
          <w:b/>
          <w:i/>
          <w:color w:val="0000FF"/>
        </w:rPr>
        <w:t>[Explain the basis for including each component unit in the reporting entity and how to obtain a copy of their financial statements. Examples follow. MODIFY AS NECESSARY. If only one component unit, modify the sentence above and the first sentence of each paragraph below to eliminate redundancy.]</w:t>
      </w:r>
    </w:p>
    <w:p w14:paraId="09AA8569"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rPr>
        <w:t>The ___________ Foundation acts primarily as a fundraising organization to supplement the resources that are available to the College in support of its programs. The Foundation board consists of _______. Although the College does not control the timing or amount of receipts from the Foundation, the majority of resources, or income thereon, that the Foundation holds and invests are restricted to the activities of the College by the donors. Because these restricted resources held by the Foundation can only be used by, or for the benefit of the College, the Foundation is considered a component unit of the College and is reported in separate financial statements because of the difference in its reporting model, as described below.</w:t>
      </w:r>
    </w:p>
    <w:p w14:paraId="6DCCC8C9"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rPr>
        <w:t xml:space="preserve">The _____________ Foundation is a private nonprofit organization that reports its financial results under the Financial Accounting Standards Board (FASB) Codification. As such, certain revenue recognition criteria and presentation features are different from the Governmental Accounting Standards Board (GASB) revenue recognition criteria and </w:t>
      </w:r>
      <w:r w:rsidRPr="00641103">
        <w:rPr>
          <w:rFonts w:ascii="Arial" w:eastAsia="Times New Roman" w:hAnsi="Arial" w:cs="Arial"/>
        </w:rPr>
        <w:lastRenderedPageBreak/>
        <w:t>presentation features. No modifications have been made to the Foundation’s financial information in the College’s financial reporting entity for these differences.</w:t>
      </w:r>
    </w:p>
    <w:p w14:paraId="643FB756" w14:textId="77777777" w:rsidR="005558B6" w:rsidRPr="00641103" w:rsidRDefault="005558B6" w:rsidP="00DC73A5">
      <w:pPr>
        <w:spacing w:after="240" w:line="240" w:lineRule="auto"/>
        <w:ind w:left="360"/>
        <w:jc w:val="both"/>
        <w:rPr>
          <w:rFonts w:ascii="Arial" w:eastAsia="Times New Roman" w:hAnsi="Arial" w:cs="Arial"/>
          <w:b/>
          <w:i/>
          <w:color w:val="0000FF"/>
        </w:rPr>
      </w:pPr>
      <w:bookmarkStart w:id="1" w:name="SigTransD"/>
      <w:r w:rsidRPr="00641103">
        <w:rPr>
          <w:rFonts w:ascii="Arial" w:eastAsia="Times New Roman" w:hAnsi="Arial" w:cs="Arial"/>
          <w:b/>
          <w:i/>
          <w:color w:val="0000FF"/>
        </w:rPr>
        <w:t>[Disclose all significant transactions between the College and its major discretely presented component units.]</w:t>
      </w:r>
      <w:bookmarkEnd w:id="1"/>
    </w:p>
    <w:p w14:paraId="7B6942DE"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rPr>
        <w:t xml:space="preserve">During the year ended June 30, </w:t>
      </w:r>
      <w:r>
        <w:rPr>
          <w:rFonts w:ascii="Arial" w:eastAsia="Times New Roman" w:hAnsi="Arial" w:cs="Arial"/>
        </w:rPr>
        <w:t>2022</w:t>
      </w:r>
      <w:r w:rsidRPr="00641103">
        <w:rPr>
          <w:rFonts w:ascii="Arial" w:eastAsia="Times New Roman" w:hAnsi="Arial" w:cs="Arial"/>
        </w:rPr>
        <w:t>, the Foundation distributed $__________ to the College for both restricted and unrestricted purposes. Complete financial statements for the Foundation can be obtained from ________________________.</w:t>
      </w:r>
    </w:p>
    <w:p w14:paraId="10373CAE" w14:textId="41C93F20" w:rsidR="005558B6" w:rsidRPr="00641103" w:rsidRDefault="005558B6" w:rsidP="00DC73A5">
      <w:pPr>
        <w:spacing w:after="240" w:line="240" w:lineRule="auto"/>
        <w:ind w:left="360" w:hanging="360"/>
        <w:jc w:val="both"/>
        <w:rPr>
          <w:rFonts w:ascii="Arial" w:eastAsia="Times New Roman" w:hAnsi="Arial" w:cs="Arial"/>
        </w:rPr>
      </w:pPr>
      <w:r w:rsidRPr="00641103">
        <w:rPr>
          <w:rFonts w:ascii="Arial" w:eastAsia="Times New Roman" w:hAnsi="Arial" w:cs="Arial"/>
          <w:b/>
          <w:bCs/>
        </w:rPr>
        <w:t>B.</w:t>
      </w:r>
      <w:r w:rsidRPr="00641103">
        <w:rPr>
          <w:rFonts w:ascii="Arial" w:eastAsia="Times New Roman" w:hAnsi="Arial" w:cs="Arial"/>
          <w:b/>
          <w:bCs/>
        </w:rPr>
        <w:tab/>
      </w:r>
      <w:r w:rsidRPr="00F03955">
        <w:rPr>
          <w:rFonts w:ascii="Arial" w:eastAsia="Times New Roman" w:hAnsi="Arial" w:cs="Arial"/>
          <w:b/>
        </w:rPr>
        <w:t>Basis of Presentation</w:t>
      </w:r>
      <w:r w:rsidRPr="00641103">
        <w:rPr>
          <w:rFonts w:ascii="Arial" w:eastAsia="Times New Roman" w:hAnsi="Arial" w:cs="Arial"/>
          <w:b/>
          <w:bCs/>
        </w:rPr>
        <w:t xml:space="preserve">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 xml:space="preserve">The accompanying financial statements are presented in accordance with accounting principles generally accepted in the United </w:t>
      </w:r>
      <w:r w:rsidRPr="005B66EC">
        <w:rPr>
          <w:rFonts w:ascii="Arial" w:eastAsia="Times New Roman" w:hAnsi="Arial" w:cs="Arial"/>
        </w:rPr>
        <w:t xml:space="preserve">States of America as prescribed by the </w:t>
      </w:r>
      <w:r w:rsidR="00654FED" w:rsidRPr="00654FED">
        <w:rPr>
          <w:rFonts w:ascii="Arial" w:eastAsia="Times New Roman" w:hAnsi="Arial" w:cs="Arial"/>
          <w:highlight w:val="yellow"/>
        </w:rPr>
        <w:t>Governmental Accounting Standards Board (</w:t>
      </w:r>
      <w:r w:rsidRPr="00654FED">
        <w:rPr>
          <w:rFonts w:ascii="Arial" w:eastAsia="Times New Roman" w:hAnsi="Arial" w:cs="Arial"/>
          <w:highlight w:val="yellow"/>
        </w:rPr>
        <w:t>GASB</w:t>
      </w:r>
      <w:r w:rsidR="00654FED" w:rsidRPr="00654FED">
        <w:rPr>
          <w:rFonts w:ascii="Arial" w:eastAsia="Times New Roman" w:hAnsi="Arial" w:cs="Arial"/>
          <w:highlight w:val="yellow"/>
        </w:rPr>
        <w:t>)</w:t>
      </w:r>
      <w:r w:rsidRPr="005B66EC">
        <w:rPr>
          <w:rFonts w:ascii="Arial" w:eastAsia="Times New Roman" w:hAnsi="Arial" w:cs="Arial"/>
        </w:rPr>
        <w:t xml:space="preserve">. Pursuant to the provisions of GASB Statement No. 34, </w:t>
      </w:r>
      <w:r w:rsidRPr="005B66EC">
        <w:rPr>
          <w:rFonts w:ascii="Arial" w:eastAsia="Times New Roman" w:hAnsi="Arial" w:cs="Arial"/>
          <w:i/>
          <w:iCs/>
        </w:rPr>
        <w:t>Basic Financial Statements - and Management’s Discussion and Analysis - for State and Local Governments</w:t>
      </w:r>
      <w:r w:rsidRPr="005B66EC">
        <w:rPr>
          <w:rFonts w:ascii="Arial" w:eastAsia="Times New Roman" w:hAnsi="Arial" w:cs="Arial"/>
          <w:iCs/>
        </w:rPr>
        <w:t xml:space="preserve">, </w:t>
      </w:r>
      <w:r w:rsidRPr="005B66EC">
        <w:rPr>
          <w:rFonts w:ascii="Arial" w:eastAsia="Times New Roman" w:hAnsi="Arial" w:cs="Arial"/>
        </w:rPr>
        <w:t xml:space="preserve">as amended by GASB Statement No. 35, </w:t>
      </w:r>
      <w:r w:rsidRPr="005B66EC">
        <w:rPr>
          <w:rFonts w:ascii="Arial" w:eastAsia="Times New Roman" w:hAnsi="Arial" w:cs="Arial"/>
          <w:i/>
          <w:iCs/>
        </w:rPr>
        <w:t xml:space="preserve">Basic Financial Statements - and Management’s Discussion and Analysis - for Public Colleges and Universities </w:t>
      </w:r>
      <w:r w:rsidRPr="005B66EC">
        <w:rPr>
          <w:rFonts w:ascii="Arial" w:hAnsi="Arial" w:cs="Arial"/>
          <w:iCs/>
        </w:rPr>
        <w:t xml:space="preserve">and GASB Statement No. 84, </w:t>
      </w:r>
      <w:r w:rsidRPr="005B66EC">
        <w:rPr>
          <w:rFonts w:ascii="Arial" w:hAnsi="Arial" w:cs="Arial"/>
          <w:i/>
          <w:iCs/>
        </w:rPr>
        <w:t>Fiduciary Activities,</w:t>
      </w:r>
      <w:r w:rsidRPr="005B66EC">
        <w:rPr>
          <w:rFonts w:ascii="Arial" w:eastAsia="Times New Roman" w:hAnsi="Arial" w:cs="Arial"/>
        </w:rPr>
        <w:t xml:space="preserve"> the</w:t>
      </w:r>
      <w:r w:rsidRPr="00641103">
        <w:rPr>
          <w:rFonts w:ascii="Arial" w:eastAsia="Times New Roman" w:hAnsi="Arial" w:cs="Arial"/>
        </w:rPr>
        <w:t xml:space="preserve"> full scope of the College’s activities is considered to be a single business-type activity and accordingly, is reported within a single column in the basic financial statements.</w:t>
      </w:r>
    </w:p>
    <w:p w14:paraId="321FA6C5" w14:textId="77777777" w:rsidR="005558B6" w:rsidRPr="00641103" w:rsidRDefault="005558B6" w:rsidP="00DC73A5">
      <w:pPr>
        <w:spacing w:after="240" w:line="240" w:lineRule="auto"/>
        <w:ind w:left="360" w:hanging="360"/>
        <w:jc w:val="both"/>
        <w:rPr>
          <w:rFonts w:ascii="Arial" w:eastAsia="Times New Roman" w:hAnsi="Arial" w:cs="Arial"/>
        </w:rPr>
      </w:pPr>
      <w:r w:rsidRPr="00641103">
        <w:rPr>
          <w:rFonts w:ascii="Arial" w:eastAsia="Times New Roman" w:hAnsi="Arial" w:cs="Arial"/>
          <w:b/>
        </w:rPr>
        <w:t>C.</w:t>
      </w:r>
      <w:r w:rsidRPr="00641103">
        <w:rPr>
          <w:rFonts w:ascii="Arial" w:eastAsia="Times New Roman" w:hAnsi="Arial" w:cs="Arial"/>
          <w:b/>
        </w:rPr>
        <w:tab/>
        <w:t xml:space="preserve">Basis of Accounting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The financial statements of the College have been prepared using the economic resource measurement focus and the accrual basis of accounting. Under the accrual basis, revenues are recognized when earned, and expenses are recorded when an obligation has been incurred, regardless of the timing of the cash flows.</w:t>
      </w:r>
    </w:p>
    <w:p w14:paraId="034D98F4" w14:textId="77777777" w:rsidR="005558B6" w:rsidRPr="00641103" w:rsidRDefault="005558B6" w:rsidP="00DC73A5">
      <w:pPr>
        <w:spacing w:after="240" w:line="240" w:lineRule="auto"/>
        <w:ind w:left="360"/>
        <w:jc w:val="both"/>
        <w:rPr>
          <w:rFonts w:ascii="Arial" w:eastAsia="Times New Roman" w:hAnsi="Arial" w:cs="Arial"/>
          <w:b/>
        </w:rPr>
      </w:pPr>
      <w:r w:rsidRPr="00641103">
        <w:rPr>
          <w:rFonts w:ascii="Arial" w:eastAsia="Times New Roman" w:hAnsi="Arial" w:cs="Arial"/>
        </w:rPr>
        <w:t>Nonexchange transactions, in which the College receives (or gives) value without directly giving (or receiving) equal value in exchange, include state aid, certain grants, and donations. Revenues are recognized, net of estimated uncollectible amounts, as soon as all eligibility requirements imposed by the provider have been met, if probable of collection.</w:t>
      </w:r>
    </w:p>
    <w:p w14:paraId="52F183C2" w14:textId="77777777" w:rsidR="005558B6" w:rsidRPr="00641103" w:rsidRDefault="005558B6" w:rsidP="00DC73A5">
      <w:pPr>
        <w:spacing w:after="240" w:line="240" w:lineRule="auto"/>
        <w:ind w:left="360" w:hanging="360"/>
        <w:jc w:val="both"/>
        <w:rPr>
          <w:rFonts w:ascii="Arial" w:eastAsia="Times New Roman" w:hAnsi="Arial" w:cs="Arial"/>
          <w:b/>
          <w:i/>
          <w:color w:val="0000FF"/>
        </w:rPr>
      </w:pPr>
      <w:r w:rsidRPr="00641103">
        <w:rPr>
          <w:rFonts w:ascii="Arial" w:eastAsia="Times New Roman" w:hAnsi="Arial" w:cs="Arial"/>
          <w:b/>
        </w:rPr>
        <w:t>D.</w:t>
      </w:r>
      <w:r w:rsidRPr="00641103">
        <w:rPr>
          <w:rFonts w:ascii="Arial" w:eastAsia="Times New Roman" w:hAnsi="Arial" w:cs="Arial"/>
          <w:b/>
        </w:rPr>
        <w:tab/>
        <w:t xml:space="preserve">Cash and Cash Equivalents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iCs/>
        </w:rPr>
        <w:t xml:space="preserve">This classification includes </w:t>
      </w:r>
      <w:r w:rsidRPr="00641103">
        <w:rPr>
          <w:rFonts w:ascii="Arial" w:eastAsia="Times New Roman" w:hAnsi="Arial" w:cs="Arial"/>
        </w:rPr>
        <w:t xml:space="preserve">undeposited receipts, petty cash, cash on deposit with private bank accounts, and deposits held by the State Treasurer in the Short-Term Investment Fund (STIF). The STIF maintained by the State Treasurer has the general characteristics of a demand deposit account in that participants may deposit and withdraw cash at any time without prior notice or penalty. </w:t>
      </w:r>
      <w:r w:rsidRPr="00641103">
        <w:rPr>
          <w:rFonts w:ascii="Arial" w:eastAsia="Times New Roman" w:hAnsi="Arial" w:cs="Arial"/>
          <w:b/>
          <w:i/>
          <w:color w:val="0000FF"/>
        </w:rPr>
        <w:t>[Modify as deemed necessary.]</w:t>
      </w:r>
    </w:p>
    <w:p w14:paraId="16588F62" w14:textId="77777777" w:rsidR="005558B6" w:rsidRPr="00641103" w:rsidRDefault="005558B6" w:rsidP="00DC73A5">
      <w:pPr>
        <w:tabs>
          <w:tab w:val="left" w:pos="1560"/>
        </w:tabs>
        <w:spacing w:after="240" w:line="240" w:lineRule="auto"/>
        <w:ind w:left="360"/>
        <w:jc w:val="center"/>
        <w:rPr>
          <w:rFonts w:ascii="Arial" w:eastAsia="Times New Roman" w:hAnsi="Arial" w:cs="Arial"/>
          <w:b/>
          <w:i/>
          <w:color w:val="0000FF"/>
        </w:rPr>
      </w:pPr>
      <w:r w:rsidRPr="00641103">
        <w:rPr>
          <w:rFonts w:ascii="Arial" w:eastAsia="Times New Roman" w:hAnsi="Arial" w:cs="Arial"/>
          <w:b/>
          <w:i/>
          <w:color w:val="0000FF"/>
        </w:rPr>
        <w:t>OR</w:t>
      </w:r>
    </w:p>
    <w:p w14:paraId="5E816E47" w14:textId="77777777" w:rsidR="005558B6" w:rsidRPr="00641103" w:rsidRDefault="005558B6" w:rsidP="00DC73A5">
      <w:pPr>
        <w:tabs>
          <w:tab w:val="left" w:pos="1560"/>
        </w:tabs>
        <w:spacing w:after="240" w:line="240" w:lineRule="auto"/>
        <w:ind w:left="360"/>
        <w:jc w:val="center"/>
        <w:rPr>
          <w:rFonts w:ascii="Arial" w:eastAsia="Times New Roman" w:hAnsi="Arial" w:cs="Arial"/>
          <w:b/>
          <w:i/>
          <w:color w:val="0000FF"/>
        </w:rPr>
      </w:pPr>
      <w:r w:rsidRPr="00641103">
        <w:rPr>
          <w:rFonts w:ascii="Arial" w:eastAsia="Times New Roman" w:hAnsi="Arial" w:cs="Arial"/>
          <w:b/>
          <w:i/>
          <w:color w:val="0000FF"/>
        </w:rPr>
        <w:tab/>
        <w:t>[If all of the College’s investments are held in the STIF:]</w:t>
      </w:r>
    </w:p>
    <w:p w14:paraId="2670852B" w14:textId="77777777" w:rsidR="005558B6" w:rsidRPr="00641103" w:rsidRDefault="005558B6" w:rsidP="00DC73A5">
      <w:pPr>
        <w:tabs>
          <w:tab w:val="left" w:pos="360"/>
        </w:tabs>
        <w:spacing w:after="240" w:line="240" w:lineRule="auto"/>
        <w:ind w:left="360" w:hanging="360"/>
        <w:jc w:val="both"/>
        <w:rPr>
          <w:rFonts w:ascii="Arial" w:eastAsia="Times New Roman" w:hAnsi="Arial" w:cs="Arial"/>
          <w:b/>
          <w:i/>
          <w:color w:val="0000FF"/>
        </w:rPr>
      </w:pPr>
      <w:r w:rsidRPr="00641103">
        <w:rPr>
          <w:rFonts w:ascii="Arial" w:eastAsia="Times New Roman" w:hAnsi="Arial" w:cs="Arial"/>
          <w:b/>
        </w:rPr>
        <w:t>D.</w:t>
      </w:r>
      <w:r w:rsidRPr="00641103">
        <w:rPr>
          <w:rFonts w:ascii="Arial" w:eastAsia="Times New Roman" w:hAnsi="Arial" w:cs="Arial"/>
          <w:b/>
        </w:rPr>
        <w:tab/>
        <w:t xml:space="preserve">Cash and Cash Equivalents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iCs/>
        </w:rPr>
        <w:t xml:space="preserve">This classification includes </w:t>
      </w:r>
      <w:r w:rsidRPr="00641103">
        <w:rPr>
          <w:rFonts w:ascii="Arial" w:eastAsia="Times New Roman" w:hAnsi="Arial" w:cs="Arial"/>
        </w:rPr>
        <w:t xml:space="preserve">undeposited receipts, petty cash, cash on deposit with private bank accounts, savings accounts, money market accounts, overnight repurchase agreements, and deposits held by the State Treasurer in the Short-Term Investment Fund (STIF). The STIF maintained by the State Treasurer has the general characteristics of a demand deposit account in that participants may deposit and withdraw cash at any time without prior notice or penalty. The College’s equity position in the STIF is recorded at fair value. Additional information regarding the fair value measurement of deposits held by the State Treasurer in the STIF is disclosed in Note 3. </w:t>
      </w:r>
      <w:r w:rsidRPr="00641103">
        <w:rPr>
          <w:rFonts w:ascii="Arial" w:eastAsia="Times New Roman" w:hAnsi="Arial" w:cs="Arial"/>
          <w:b/>
          <w:i/>
          <w:color w:val="0000FF"/>
        </w:rPr>
        <w:t>[Modify as deemed necessary.]</w:t>
      </w:r>
    </w:p>
    <w:p w14:paraId="45B18143" w14:textId="77777777" w:rsidR="005558B6" w:rsidRPr="00641103" w:rsidRDefault="005558B6" w:rsidP="00DC73A5">
      <w:pPr>
        <w:tabs>
          <w:tab w:val="left" w:pos="360"/>
        </w:tabs>
        <w:spacing w:after="240" w:line="240" w:lineRule="auto"/>
        <w:ind w:left="360" w:hanging="360"/>
        <w:jc w:val="both"/>
        <w:rPr>
          <w:rFonts w:ascii="Arial" w:eastAsia="Times New Roman" w:hAnsi="Arial" w:cs="Arial"/>
        </w:rPr>
      </w:pPr>
      <w:r w:rsidRPr="00641103">
        <w:rPr>
          <w:rFonts w:ascii="Arial" w:eastAsia="Times New Roman" w:hAnsi="Arial" w:cs="Arial"/>
          <w:b/>
        </w:rPr>
        <w:lastRenderedPageBreak/>
        <w:t>E.</w:t>
      </w:r>
      <w:r w:rsidRPr="00641103">
        <w:rPr>
          <w:rFonts w:ascii="Arial" w:eastAsia="Times New Roman" w:hAnsi="Arial" w:cs="Arial"/>
          <w:b/>
        </w:rPr>
        <w:tab/>
        <w:t xml:space="preserve">Investments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To the extent available, investments are recorded at fair value based on quoted market prices in active markets on a trade-date basis. Additional information regarding the fair value measurement of investments is disclosed in Note 3.</w:t>
      </w:r>
      <w:r w:rsidRPr="00641103">
        <w:rPr>
          <w:rFonts w:ascii="Arial" w:eastAsia="Times New Roman" w:hAnsi="Arial" w:cs="Arial"/>
          <w:b/>
        </w:rPr>
        <w:t xml:space="preserve"> </w:t>
      </w:r>
      <w:r w:rsidRPr="00641103">
        <w:rPr>
          <w:rFonts w:ascii="Arial" w:eastAsia="Times New Roman" w:hAnsi="Arial" w:cs="Arial"/>
        </w:rPr>
        <w:t xml:space="preserve">Because of the inherent uncertainty in the use of estimates, values that are based on estimates may differ from the values that would have been used had a ready market existed for the investments. The net change in the value of investments is recognized as a component of investment income. </w:t>
      </w:r>
      <w:r w:rsidRPr="00641103">
        <w:rPr>
          <w:rFonts w:ascii="Arial" w:eastAsia="Times New Roman" w:hAnsi="Arial" w:cs="Arial"/>
          <w:b/>
          <w:i/>
          <w:color w:val="0000FF"/>
        </w:rPr>
        <w:t>[Modify as deemed necessary.]</w:t>
      </w:r>
    </w:p>
    <w:p w14:paraId="45B8BB7C" w14:textId="497372CB" w:rsidR="005558B6" w:rsidRDefault="005558B6" w:rsidP="00DC73A5">
      <w:pPr>
        <w:spacing w:after="240" w:line="240" w:lineRule="auto"/>
        <w:ind w:left="360"/>
        <w:jc w:val="both"/>
        <w:rPr>
          <w:rFonts w:ascii="Arial" w:hAnsi="Arial" w:cs="Arial"/>
          <w:b/>
          <w:i/>
          <w:color w:val="0000FF"/>
        </w:rPr>
      </w:pPr>
      <w:r w:rsidRPr="00641103">
        <w:rPr>
          <w:rFonts w:ascii="Arial" w:eastAsia="Times New Roman" w:hAnsi="Arial" w:cs="Arial"/>
        </w:rPr>
        <w:t xml:space="preserve">[Certificates of deposit, investment agreements, bank investment contracts, and other asset holdings] are reported at cost, if purchased, or at fair value or appraised value at date of gift, if donated. </w:t>
      </w:r>
      <w:r w:rsidRPr="00641103">
        <w:rPr>
          <w:rFonts w:ascii="Arial" w:eastAsia="Times New Roman" w:hAnsi="Arial" w:cs="Arial"/>
          <w:b/>
          <w:i/>
          <w:color w:val="0000FF"/>
        </w:rPr>
        <w:t>[Modify as deemed necessary.]</w:t>
      </w:r>
      <w:r w:rsidRPr="00641103">
        <w:rPr>
          <w:rFonts w:ascii="Arial" w:hAnsi="Arial" w:cs="Arial"/>
          <w:b/>
          <w:i/>
          <w:color w:val="0000FF"/>
        </w:rPr>
        <w:t xml:space="preserve"> [This paragraph should include all of the College’s investments that are not measured at fair value (i.e. investments not </w:t>
      </w:r>
      <w:r w:rsidRPr="00AE2160">
        <w:rPr>
          <w:rFonts w:ascii="Arial" w:hAnsi="Arial" w:cs="Arial"/>
          <w:b/>
          <w:i/>
          <w:color w:val="0000FF"/>
        </w:rPr>
        <w:t>disclosed in Note 3). See GASB Codification Section 150.121-123 for exceptions to fair value reporting.].</w:t>
      </w:r>
    </w:p>
    <w:p w14:paraId="59A02DE8" w14:textId="712397E2" w:rsidR="008D78B7" w:rsidRPr="00002CBD" w:rsidRDefault="008D78B7" w:rsidP="00DC73A5">
      <w:pPr>
        <w:spacing w:after="240" w:line="240" w:lineRule="auto"/>
        <w:ind w:left="360"/>
        <w:jc w:val="both"/>
        <w:rPr>
          <w:rFonts w:ascii="Arial" w:eastAsia="Times New Roman" w:hAnsi="Arial" w:cs="Arial"/>
        </w:rPr>
      </w:pPr>
      <w:r w:rsidRPr="008D78B7">
        <w:rPr>
          <w:rFonts w:ascii="Arial" w:eastAsia="Times New Roman" w:hAnsi="Arial" w:cs="Arial"/>
          <w:highlight w:val="yellow"/>
        </w:rPr>
        <w:t xml:space="preserve">Endowment investments include the principal </w:t>
      </w:r>
      <w:proofErr w:type="gramStart"/>
      <w:r w:rsidRPr="008D78B7">
        <w:rPr>
          <w:rFonts w:ascii="Arial" w:eastAsia="Times New Roman" w:hAnsi="Arial" w:cs="Arial"/>
          <w:highlight w:val="yellow"/>
        </w:rPr>
        <w:t>amount</w:t>
      </w:r>
      <w:proofErr w:type="gramEnd"/>
      <w:r w:rsidRPr="008D78B7">
        <w:rPr>
          <w:rFonts w:ascii="Arial" w:eastAsia="Times New Roman" w:hAnsi="Arial" w:cs="Arial"/>
          <w:highlight w:val="yellow"/>
        </w:rPr>
        <w:t xml:space="preserve"> of gifts and bequests that, according to donor restrictions, must be held in perpetuity or for a specified period of time, along with any accumulated investment earnings on such amounts. Further, endowment investments also include amounts internally designated by the </w:t>
      </w:r>
      <w:r>
        <w:rPr>
          <w:rFonts w:ascii="Arial" w:eastAsia="Times New Roman" w:hAnsi="Arial" w:cs="Arial"/>
          <w:highlight w:val="yellow"/>
        </w:rPr>
        <w:t>College</w:t>
      </w:r>
      <w:r w:rsidRPr="008D78B7">
        <w:rPr>
          <w:rFonts w:ascii="Arial" w:eastAsia="Times New Roman" w:hAnsi="Arial" w:cs="Arial"/>
          <w:highlight w:val="yellow"/>
        </w:rPr>
        <w:t xml:space="preserve"> for investment in an endowment capacity (i.e. quasi-endowments), along with accumulated investment earnings on such amounts. Land and other real estate held as investments by endowments are reported at fair value, consistent with how investments are generally reported. </w:t>
      </w:r>
      <w:r w:rsidRPr="008D78B7">
        <w:rPr>
          <w:rFonts w:ascii="Arial" w:eastAsia="Times New Roman" w:hAnsi="Arial" w:cs="Arial"/>
          <w:b/>
          <w:i/>
          <w:color w:val="0000FF"/>
          <w:highlight w:val="yellow"/>
        </w:rPr>
        <w:t>[Modify as deemed necessary.]</w:t>
      </w:r>
    </w:p>
    <w:p w14:paraId="5AFD5D36" w14:textId="77777777" w:rsidR="005558B6" w:rsidRPr="00641103" w:rsidRDefault="005558B6" w:rsidP="00DC73A5">
      <w:pPr>
        <w:spacing w:after="240" w:line="240" w:lineRule="auto"/>
        <w:ind w:left="360"/>
        <w:jc w:val="both"/>
        <w:rPr>
          <w:rFonts w:ascii="Arial" w:eastAsia="Times New Roman" w:hAnsi="Arial" w:cs="Arial"/>
          <w:b/>
          <w:i/>
          <w:color w:val="0000FF"/>
        </w:rPr>
      </w:pPr>
      <w:r w:rsidRPr="00641103">
        <w:rPr>
          <w:rFonts w:ascii="Arial" w:eastAsia="Times New Roman" w:hAnsi="Arial" w:cs="Arial"/>
          <w:b/>
          <w:i/>
          <w:color w:val="0000FF"/>
        </w:rPr>
        <w:t>[Note to preparer: Remove entire paragraph E if all of the College’s investments are held in the STIF.]</w:t>
      </w:r>
    </w:p>
    <w:p w14:paraId="44EDC04D" w14:textId="77777777" w:rsidR="005558B6" w:rsidRPr="00641103" w:rsidRDefault="005558B6" w:rsidP="00DC73A5">
      <w:pPr>
        <w:spacing w:after="240" w:line="240" w:lineRule="auto"/>
        <w:ind w:left="360" w:hanging="360"/>
        <w:jc w:val="both"/>
        <w:rPr>
          <w:rFonts w:ascii="Arial" w:eastAsia="Times New Roman" w:hAnsi="Arial" w:cs="Arial"/>
        </w:rPr>
      </w:pPr>
      <w:r w:rsidRPr="00641103">
        <w:rPr>
          <w:rFonts w:ascii="Arial" w:eastAsia="Times New Roman" w:hAnsi="Arial" w:cs="Arial"/>
          <w:b/>
        </w:rPr>
        <w:t>F.</w:t>
      </w:r>
      <w:r w:rsidRPr="00641103">
        <w:rPr>
          <w:rFonts w:ascii="Arial" w:eastAsia="Times New Roman" w:hAnsi="Arial" w:cs="Arial"/>
          <w:b/>
        </w:rPr>
        <w:tab/>
        <w:t xml:space="preserve">Receivables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Receivables consist of tuition and fees charged to students and charges for auxiliary enterprises’ sales and services. Receivables also include amounts due from the federal government, state and local governments, private sources in connection with reimbursement of allowable expenditures made pursuant to contracts and grants, and pledges that are verifiable, measurable, and expected to be collected and available for expenditures for which the resource provider’s conditions have been satisfied. Receivables are recorded net of estimated uncollectible amounts.</w:t>
      </w:r>
      <w:r w:rsidRPr="00641103">
        <w:rPr>
          <w:rFonts w:ascii="Arial" w:eastAsia="Times New Roman" w:hAnsi="Arial" w:cs="Arial"/>
          <w:b/>
          <w:i/>
        </w:rPr>
        <w:t xml:space="preserve"> </w:t>
      </w:r>
      <w:r w:rsidRPr="00641103">
        <w:rPr>
          <w:rFonts w:ascii="Arial" w:eastAsia="Times New Roman" w:hAnsi="Arial" w:cs="Arial"/>
          <w:b/>
          <w:i/>
          <w:color w:val="0000FF"/>
        </w:rPr>
        <w:t>[Modify as deemed necessary.]</w:t>
      </w:r>
    </w:p>
    <w:p w14:paraId="6FF72216" w14:textId="77777777" w:rsidR="005558B6" w:rsidRPr="00641103" w:rsidRDefault="005558B6" w:rsidP="00DC73A5">
      <w:pPr>
        <w:spacing w:after="240" w:line="240" w:lineRule="auto"/>
        <w:ind w:left="360" w:hanging="360"/>
        <w:jc w:val="both"/>
        <w:rPr>
          <w:rFonts w:ascii="Arial" w:eastAsia="Times New Roman" w:hAnsi="Arial" w:cs="Arial"/>
          <w:b/>
          <w:i/>
          <w:color w:val="0000FF"/>
        </w:rPr>
      </w:pPr>
      <w:r w:rsidRPr="00641103">
        <w:rPr>
          <w:rFonts w:ascii="Arial" w:eastAsia="Times New Roman" w:hAnsi="Arial" w:cs="Arial"/>
          <w:b/>
        </w:rPr>
        <w:t>G.</w:t>
      </w:r>
      <w:r w:rsidRPr="00641103">
        <w:rPr>
          <w:rFonts w:ascii="Arial" w:eastAsia="Times New Roman" w:hAnsi="Arial" w:cs="Arial"/>
          <w:b/>
        </w:rPr>
        <w:tab/>
        <w:t xml:space="preserve">Inventories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Inventories, consisting of expendable supplies, are valued at cost using either </w:t>
      </w:r>
      <w:r>
        <w:rPr>
          <w:rFonts w:ascii="Arial" w:eastAsia="Times New Roman" w:hAnsi="Arial" w:cs="Arial"/>
        </w:rPr>
        <w:t xml:space="preserve">the </w:t>
      </w:r>
      <w:r w:rsidRPr="00641103">
        <w:rPr>
          <w:rFonts w:ascii="Arial" w:eastAsia="Times New Roman" w:hAnsi="Arial" w:cs="Arial"/>
        </w:rPr>
        <w:t xml:space="preserve">first-in, first-out, last invoice cost, or average cost method. Merchandise for resale is valued at the lower of cost or market using the retail inventory method. </w:t>
      </w:r>
      <w:r w:rsidRPr="00641103">
        <w:rPr>
          <w:rFonts w:ascii="Arial" w:eastAsia="Times New Roman" w:hAnsi="Arial" w:cs="Arial"/>
          <w:b/>
          <w:i/>
          <w:color w:val="0000FF"/>
        </w:rPr>
        <w:t>[Modify as deemed necessary.]</w:t>
      </w:r>
    </w:p>
    <w:p w14:paraId="76E39735" w14:textId="4D5BD09F" w:rsidR="005558B6" w:rsidRPr="00641103" w:rsidRDefault="005558B6" w:rsidP="00DC73A5">
      <w:pPr>
        <w:tabs>
          <w:tab w:val="left" w:pos="1710"/>
        </w:tabs>
        <w:spacing w:after="240" w:line="240" w:lineRule="auto"/>
        <w:ind w:left="360" w:hanging="360"/>
        <w:jc w:val="both"/>
        <w:rPr>
          <w:rFonts w:ascii="Arial" w:eastAsia="Times New Roman" w:hAnsi="Arial" w:cs="Arial"/>
        </w:rPr>
      </w:pPr>
      <w:r w:rsidRPr="00641103">
        <w:rPr>
          <w:rFonts w:ascii="Arial" w:eastAsia="Times New Roman" w:hAnsi="Arial" w:cs="Arial"/>
          <w:b/>
        </w:rPr>
        <w:t>H.</w:t>
      </w:r>
      <w:r w:rsidRPr="00641103">
        <w:rPr>
          <w:rFonts w:ascii="Arial" w:eastAsia="Times New Roman" w:hAnsi="Arial" w:cs="Arial"/>
          <w:b/>
        </w:rPr>
        <w:tab/>
        <w:t xml:space="preserve">Capital Assets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Capital assets are stated at cost at date of acquisition or acquisition value at date of donation in the case of gifts. Donated capital assets acquired prior to </w:t>
      </w:r>
      <w:r w:rsidR="00803B22">
        <w:rPr>
          <w:rFonts w:ascii="Arial" w:eastAsia="Times New Roman" w:hAnsi="Arial" w:cs="Arial"/>
        </w:rPr>
        <w:br/>
      </w:r>
      <w:r w:rsidRPr="00641103">
        <w:rPr>
          <w:rFonts w:ascii="Arial" w:eastAsia="Times New Roman" w:hAnsi="Arial" w:cs="Arial"/>
        </w:rPr>
        <w:t xml:space="preserve">July 1, 2015 are stated at fair value as of the date of donation. The value of assets constructed includes all material direct and indirect construction costs. </w:t>
      </w:r>
    </w:p>
    <w:p w14:paraId="142CB7C7" w14:textId="3167B551"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rPr>
        <w:t xml:space="preserve">The College capitalizes assets that have a value or cost of $5,000 or greater at the date of acquisition and an estimated useful life of more than one year except for internally generated </w:t>
      </w:r>
      <w:r w:rsidR="008E7CFB" w:rsidRPr="008E7CFB">
        <w:rPr>
          <w:rFonts w:ascii="Arial" w:eastAsia="Times New Roman" w:hAnsi="Arial" w:cs="Arial"/>
          <w:highlight w:val="yellow"/>
        </w:rPr>
        <w:t>computer</w:t>
      </w:r>
      <w:r w:rsidR="008E7CFB">
        <w:rPr>
          <w:rFonts w:ascii="Arial" w:eastAsia="Times New Roman" w:hAnsi="Arial" w:cs="Arial"/>
        </w:rPr>
        <w:t xml:space="preserve"> </w:t>
      </w:r>
      <w:r w:rsidRPr="00641103">
        <w:rPr>
          <w:rFonts w:ascii="Arial" w:eastAsia="Times New Roman" w:hAnsi="Arial" w:cs="Arial"/>
        </w:rPr>
        <w:t>software which is capitalized when the value or cost is $1,000,000 or greater and other intangible assets which are capitalized when the value or cost is $100,000 or greater.</w:t>
      </w:r>
      <w:r w:rsidR="009754E0">
        <w:rPr>
          <w:rFonts w:ascii="Arial" w:eastAsia="Times New Roman" w:hAnsi="Arial" w:cs="Arial"/>
        </w:rPr>
        <w:t xml:space="preserve"> </w:t>
      </w:r>
      <w:bookmarkStart w:id="2" w:name="_Hlk104963845"/>
      <w:r w:rsidR="009754E0" w:rsidRPr="002275C9">
        <w:rPr>
          <w:rFonts w:ascii="Arial" w:hAnsi="Arial" w:cs="Arial"/>
          <w:highlight w:val="yellow"/>
        </w:rPr>
        <w:t xml:space="preserve">Lease payables are capitalized as a right-to-use asset when the </w:t>
      </w:r>
      <w:r w:rsidR="009754E0" w:rsidRPr="002275C9">
        <w:rPr>
          <w:rFonts w:ascii="Arial" w:hAnsi="Arial" w:cs="Arial"/>
          <w:highlight w:val="yellow"/>
        </w:rPr>
        <w:lastRenderedPageBreak/>
        <w:t>leased asset has a cost of $_____ or greater and an estimated useful life of more than one year.</w:t>
      </w:r>
      <w:bookmarkEnd w:id="2"/>
      <w:r w:rsidR="007D465A">
        <w:rPr>
          <w:rFonts w:ascii="Arial" w:hAnsi="Arial" w:cs="Arial"/>
          <w:b/>
          <w:i/>
          <w:color w:val="0000FF"/>
        </w:rPr>
        <w:t xml:space="preserve"> </w:t>
      </w:r>
      <w:r w:rsidRPr="00641103">
        <w:rPr>
          <w:rFonts w:ascii="Arial" w:eastAsia="Times New Roman" w:hAnsi="Arial" w:cs="Arial"/>
          <w:b/>
          <w:i/>
          <w:color w:val="0000FF"/>
        </w:rPr>
        <w:t>[Note to Preparer:</w:t>
      </w:r>
      <w:r>
        <w:rPr>
          <w:rFonts w:ascii="Arial" w:eastAsia="Times New Roman" w:hAnsi="Arial" w:cs="Arial"/>
          <w:b/>
          <w:i/>
          <w:color w:val="0000FF"/>
        </w:rPr>
        <w:t xml:space="preserve"> Adjust to the College’s specific capitalization policy</w:t>
      </w:r>
      <w:r w:rsidRPr="00641103">
        <w:rPr>
          <w:rFonts w:ascii="Arial" w:eastAsia="Times New Roman" w:hAnsi="Arial" w:cs="Arial"/>
          <w:b/>
          <w:i/>
          <w:color w:val="0000FF"/>
        </w:rPr>
        <w:t>.]</w:t>
      </w:r>
    </w:p>
    <w:p w14:paraId="129319F3"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rPr>
        <w:t xml:space="preserve">Depreciation and amortization </w:t>
      </w:r>
      <w:r w:rsidRPr="00641103">
        <w:rPr>
          <w:rFonts w:ascii="Arial" w:eastAsia="Times New Roman" w:hAnsi="Arial" w:cs="Arial"/>
          <w:b/>
          <w:i/>
          <w:color w:val="0000FF"/>
        </w:rPr>
        <w:t>[Note: Remove ‘and amortization’ if it is not applicable to your entity]</w:t>
      </w:r>
      <w:r w:rsidRPr="00641103">
        <w:rPr>
          <w:rFonts w:ascii="Arial" w:eastAsia="Times New Roman" w:hAnsi="Arial" w:cs="Arial"/>
        </w:rPr>
        <w:t xml:space="preserve"> is/are computed using the straight-line and/or units of output method over the estimated useful lives of the assets in the following manner:</w:t>
      </w:r>
    </w:p>
    <w:bookmarkStart w:id="3" w:name="_MON_1560457739"/>
    <w:bookmarkEnd w:id="3"/>
    <w:bookmarkStart w:id="4" w:name="_MON_1559106739"/>
    <w:bookmarkEnd w:id="4"/>
    <w:p w14:paraId="30572BC9" w14:textId="44E151B5" w:rsidR="005558B6" w:rsidRPr="00641103" w:rsidRDefault="00DC73A5" w:rsidP="00DC73A5">
      <w:pPr>
        <w:spacing w:after="240" w:line="240" w:lineRule="auto"/>
        <w:ind w:left="360"/>
        <w:jc w:val="center"/>
        <w:rPr>
          <w:rFonts w:ascii="Arial" w:eastAsia="Times New Roman" w:hAnsi="Arial" w:cs="Arial"/>
          <w:b/>
          <w:bCs/>
          <w:i/>
          <w:iCs/>
          <w:color w:val="0000FF"/>
        </w:rPr>
      </w:pPr>
      <w:r w:rsidRPr="00641103">
        <w:rPr>
          <w:rFonts w:ascii="Arial" w:eastAsia="Times New Roman" w:hAnsi="Arial" w:cs="Arial"/>
          <w:b/>
          <w:bCs/>
          <w:i/>
          <w:iCs/>
          <w:color w:val="0000FF"/>
        </w:rPr>
        <w:object w:dxaOrig="5235" w:dyaOrig="3015" w14:anchorId="63E7E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51.5pt" o:ole="">
            <v:imagedata r:id="rId11" o:title=""/>
          </v:shape>
          <o:OLEObject Type="Embed" ProgID="Excel.Sheet.12" ShapeID="_x0000_i1025" DrawAspect="Content" ObjectID="_1721553170" r:id="rId12"/>
        </w:object>
      </w:r>
    </w:p>
    <w:p w14:paraId="1B3793D1" w14:textId="1FBAB34F" w:rsidR="005558B6" w:rsidRPr="005A31CF" w:rsidRDefault="005558B6" w:rsidP="00DC73A5">
      <w:pPr>
        <w:spacing w:after="240" w:line="240" w:lineRule="auto"/>
        <w:ind w:left="360"/>
        <w:jc w:val="center"/>
        <w:rPr>
          <w:rFonts w:ascii="Arial" w:eastAsia="Times New Roman" w:hAnsi="Arial" w:cs="Arial"/>
          <w:b/>
          <w:bCs/>
          <w:i/>
          <w:iCs/>
          <w:color w:val="0000FF"/>
        </w:rPr>
      </w:pPr>
      <w:r w:rsidRPr="00841121">
        <w:rPr>
          <w:rFonts w:ascii="Arial" w:eastAsia="Times New Roman" w:hAnsi="Arial" w:cs="Arial"/>
          <w:b/>
          <w:bCs/>
          <w:i/>
          <w:iCs/>
          <w:color w:val="0000FF"/>
        </w:rPr>
        <w:t xml:space="preserve">[Modify as </w:t>
      </w:r>
      <w:r w:rsidRPr="00520027">
        <w:rPr>
          <w:rFonts w:ascii="Arial" w:eastAsia="Times New Roman" w:hAnsi="Arial" w:cs="Arial"/>
          <w:b/>
          <w:bCs/>
          <w:i/>
          <w:iCs/>
          <w:color w:val="0000FF"/>
        </w:rPr>
        <w:t>necessary.</w:t>
      </w:r>
      <w:r>
        <w:rPr>
          <w:rFonts w:ascii="Arial" w:eastAsia="Times New Roman" w:hAnsi="Arial" w:cs="Arial"/>
          <w:b/>
          <w:bCs/>
          <w:i/>
          <w:iCs/>
          <w:color w:val="0000FF"/>
        </w:rPr>
        <w:t>]</w:t>
      </w:r>
    </w:p>
    <w:p w14:paraId="3E2E6B94" w14:textId="77777777" w:rsidR="005558B6" w:rsidRPr="005A31CF" w:rsidRDefault="005558B6" w:rsidP="00DC73A5">
      <w:pPr>
        <w:spacing w:after="240" w:line="240" w:lineRule="auto"/>
        <w:ind w:left="360"/>
        <w:jc w:val="both"/>
        <w:rPr>
          <w:rFonts w:ascii="Arial" w:eastAsia="Times New Roman" w:hAnsi="Arial" w:cs="Arial"/>
        </w:rPr>
      </w:pPr>
      <w:r>
        <w:rPr>
          <w:rFonts w:ascii="Arial" w:eastAsia="Times New Roman" w:hAnsi="Arial" w:cs="Arial"/>
        </w:rPr>
        <w:t>T</w:t>
      </w:r>
      <w:r w:rsidRPr="005A31CF">
        <w:rPr>
          <w:rFonts w:ascii="Arial" w:eastAsia="Times New Roman" w:hAnsi="Arial" w:cs="Arial"/>
        </w:rPr>
        <w:t xml:space="preserve">he College does not capitalize the </w:t>
      </w:r>
      <w:r w:rsidRPr="005A31CF">
        <w:rPr>
          <w:rFonts w:ascii="Arial" w:eastAsia="Times New Roman" w:hAnsi="Arial" w:cs="Arial"/>
          <w:b/>
          <w:bCs/>
          <w:iCs/>
          <w:color w:val="0000FF"/>
        </w:rPr>
        <w:t>[fill in the title]</w:t>
      </w:r>
      <w:r w:rsidRPr="005A31CF">
        <w:rPr>
          <w:rFonts w:ascii="Arial" w:eastAsia="Times New Roman" w:hAnsi="Arial" w:cs="Arial"/>
          <w:b/>
          <w:bCs/>
          <w:i/>
          <w:iCs/>
        </w:rPr>
        <w:t xml:space="preserve"> </w:t>
      </w:r>
      <w:r w:rsidRPr="005A31CF">
        <w:rPr>
          <w:rFonts w:ascii="Arial" w:eastAsia="Times New Roman" w:hAnsi="Arial" w:cs="Arial"/>
        </w:rPr>
        <w:t>collection</w:t>
      </w:r>
      <w:r w:rsidRPr="005A31CF">
        <w:rPr>
          <w:rFonts w:ascii="Arial" w:eastAsia="Times New Roman" w:hAnsi="Arial" w:cs="Arial"/>
          <w:bCs/>
          <w:i/>
          <w:iCs/>
        </w:rPr>
        <w:t>(s)</w:t>
      </w:r>
      <w:r w:rsidRPr="005A31CF">
        <w:rPr>
          <w:rFonts w:ascii="Arial" w:eastAsia="Times New Roman" w:hAnsi="Arial" w:cs="Arial"/>
        </w:rPr>
        <w:t>. This/</w:t>
      </w:r>
      <w:r w:rsidRPr="005A31CF">
        <w:rPr>
          <w:rFonts w:ascii="Arial" w:eastAsia="Times New Roman" w:hAnsi="Arial" w:cs="Arial"/>
          <w:i/>
        </w:rPr>
        <w:t>(These)</w:t>
      </w:r>
      <w:r w:rsidRPr="005A31CF">
        <w:rPr>
          <w:rFonts w:ascii="Arial" w:eastAsia="Times New Roman" w:hAnsi="Arial" w:cs="Arial"/>
        </w:rPr>
        <w:t xml:space="preserve"> collection</w:t>
      </w:r>
      <w:r w:rsidRPr="005A31CF">
        <w:rPr>
          <w:rFonts w:ascii="Arial" w:eastAsia="Times New Roman" w:hAnsi="Arial" w:cs="Arial"/>
          <w:i/>
        </w:rPr>
        <w:t>(s)</w:t>
      </w:r>
      <w:r w:rsidRPr="005A31CF">
        <w:rPr>
          <w:rFonts w:ascii="Arial" w:eastAsia="Times New Roman" w:hAnsi="Arial" w:cs="Arial"/>
        </w:rPr>
        <w:t xml:space="preserve"> adhere</w:t>
      </w:r>
      <w:r w:rsidRPr="005A31CF">
        <w:rPr>
          <w:rFonts w:ascii="Arial" w:eastAsia="Times New Roman" w:hAnsi="Arial" w:cs="Arial"/>
          <w:i/>
        </w:rPr>
        <w:t>(s)</w:t>
      </w:r>
      <w:r w:rsidRPr="005A31CF">
        <w:rPr>
          <w:rFonts w:ascii="Arial" w:eastAsia="Times New Roman" w:hAnsi="Arial" w:cs="Arial"/>
        </w:rPr>
        <w:t xml:space="preserve"> to the College’s policy to maintain for public exhibition, education, or research; protect, keep unencumbered, care for, and preserve; and require proceeds from their sale to be used to acquire other collection items. </w:t>
      </w:r>
      <w:r w:rsidRPr="005A31CF">
        <w:rPr>
          <w:rFonts w:ascii="Arial" w:eastAsia="Times New Roman" w:hAnsi="Arial" w:cs="Arial"/>
          <w:b/>
          <w:bCs/>
          <w:i/>
          <w:iCs/>
          <w:color w:val="0000FF"/>
        </w:rPr>
        <w:t>[Modify as necessary.]</w:t>
      </w:r>
      <w:r w:rsidRPr="005A31CF">
        <w:rPr>
          <w:rFonts w:ascii="Arial" w:eastAsia="Times New Roman" w:hAnsi="Arial" w:cs="Arial"/>
          <w:b/>
          <w:bCs/>
          <w:i/>
          <w:iCs/>
        </w:rPr>
        <w:t xml:space="preserve"> </w:t>
      </w:r>
      <w:r w:rsidRPr="005A31CF">
        <w:rPr>
          <w:rFonts w:ascii="Arial" w:eastAsia="Times New Roman" w:hAnsi="Arial" w:cs="Arial"/>
        </w:rPr>
        <w:t>Accounting principles generally accepted in the United States of America permit collections maintained in this manner to be charged to operations at time of purchase rather than be capitalized.</w:t>
      </w:r>
      <w:r>
        <w:rPr>
          <w:rFonts w:ascii="Arial" w:eastAsia="Times New Roman" w:hAnsi="Arial" w:cs="Arial"/>
        </w:rPr>
        <w:t xml:space="preserve"> </w:t>
      </w:r>
      <w:r w:rsidRPr="00037E0C">
        <w:rPr>
          <w:rFonts w:ascii="Arial" w:eastAsia="Times New Roman" w:hAnsi="Arial" w:cs="Arial"/>
          <w:b/>
          <w:i/>
          <w:color w:val="0000FF"/>
        </w:rPr>
        <w:t xml:space="preserve">[Remove if no collections are not </w:t>
      </w:r>
      <w:r w:rsidRPr="00232548">
        <w:rPr>
          <w:rFonts w:ascii="Arial" w:eastAsia="Times New Roman" w:hAnsi="Arial" w:cs="Arial"/>
          <w:b/>
          <w:i/>
          <w:color w:val="0000FF"/>
        </w:rPr>
        <w:t>capitalized</w:t>
      </w:r>
      <w:r w:rsidRPr="00037E0C">
        <w:rPr>
          <w:rFonts w:ascii="Arial" w:eastAsia="Times New Roman" w:hAnsi="Arial" w:cs="Arial"/>
          <w:b/>
          <w:i/>
          <w:color w:val="0000FF"/>
        </w:rPr>
        <w:t>]</w:t>
      </w:r>
    </w:p>
    <w:p w14:paraId="15E1DE84" w14:textId="77777777" w:rsidR="005558B6" w:rsidRDefault="005558B6" w:rsidP="00DC73A5">
      <w:pPr>
        <w:spacing w:after="240" w:line="240" w:lineRule="auto"/>
        <w:ind w:left="360" w:hanging="360"/>
        <w:jc w:val="both"/>
        <w:rPr>
          <w:rFonts w:ascii="Arial" w:eastAsia="Times New Roman" w:hAnsi="Arial" w:cs="Arial"/>
          <w:b/>
          <w:bCs/>
          <w:i/>
          <w:iCs/>
          <w:color w:val="0000FF"/>
        </w:rPr>
      </w:pPr>
      <w:r w:rsidRPr="00641103">
        <w:rPr>
          <w:rFonts w:ascii="Arial" w:eastAsia="Times New Roman" w:hAnsi="Arial" w:cs="Arial"/>
          <w:b/>
          <w:bCs/>
        </w:rPr>
        <w:t>I.</w:t>
      </w:r>
      <w:r w:rsidRPr="00641103">
        <w:rPr>
          <w:rFonts w:ascii="Arial" w:eastAsia="Times New Roman" w:hAnsi="Arial" w:cs="Arial"/>
          <w:b/>
          <w:bCs/>
        </w:rPr>
        <w:tab/>
        <w:t xml:space="preserve">Restricted Assets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 xml:space="preserve">Certain resources are reported as restricted assets because restrictions on asset use change the nature or normal understanding of the availability of the asset. Resources that are not available for current operations and are reported as restricted include resources restricted for the acquisition or construction of capital assets, resources whose use is limited by external parties or statute, and endowment and other restricted investments. </w:t>
      </w:r>
      <w:r w:rsidRPr="00641103">
        <w:rPr>
          <w:rFonts w:ascii="Arial" w:eastAsia="Times New Roman" w:hAnsi="Arial" w:cs="Arial"/>
          <w:b/>
          <w:bCs/>
          <w:i/>
          <w:iCs/>
          <w:color w:val="0000FF"/>
        </w:rPr>
        <w:t>[Modify as necessary.]</w:t>
      </w:r>
    </w:p>
    <w:p w14:paraId="152227F3" w14:textId="77777777" w:rsidR="005558B6" w:rsidRPr="005B66EC" w:rsidRDefault="005558B6" w:rsidP="00DC73A5">
      <w:pPr>
        <w:spacing w:after="240" w:line="240" w:lineRule="auto"/>
        <w:ind w:left="360" w:hanging="360"/>
        <w:jc w:val="both"/>
        <w:rPr>
          <w:rFonts w:ascii="Arial" w:hAnsi="Arial" w:cs="Arial"/>
          <w:b/>
          <w:bCs/>
          <w:i/>
          <w:iCs/>
          <w:color w:val="0000FF"/>
        </w:rPr>
      </w:pPr>
      <w:r w:rsidRPr="005B66EC">
        <w:rPr>
          <w:rFonts w:ascii="Arial" w:eastAsia="Times New Roman" w:hAnsi="Arial" w:cs="Arial"/>
          <w:b/>
        </w:rPr>
        <w:t>J.</w:t>
      </w:r>
      <w:r w:rsidRPr="005B66EC">
        <w:rPr>
          <w:rFonts w:ascii="Arial" w:eastAsia="Times New Roman" w:hAnsi="Arial" w:cs="Arial"/>
          <w:b/>
        </w:rPr>
        <w:tab/>
        <w:t xml:space="preserve">Accounting and Reporting of Fiduciary Activities </w:t>
      </w:r>
      <w:r w:rsidRPr="005B66EC">
        <w:rPr>
          <w:rFonts w:ascii="Arial" w:eastAsia="Times New Roman" w:hAnsi="Arial" w:cs="Arial"/>
        </w:rPr>
        <w:t>-</w:t>
      </w:r>
      <w:r w:rsidRPr="005B66EC">
        <w:rPr>
          <w:rFonts w:ascii="Arial" w:eastAsia="Times New Roman" w:hAnsi="Arial" w:cs="Arial"/>
          <w:b/>
        </w:rPr>
        <w:t xml:space="preserve"> </w:t>
      </w:r>
      <w:r w:rsidRPr="005B66EC">
        <w:rPr>
          <w:rFonts w:ascii="Arial" w:hAnsi="Arial" w:cs="Arial"/>
        </w:rPr>
        <w:t xml:space="preserve">Pursuant to the provisions of GASB Statement No. 84, </w:t>
      </w:r>
      <w:r w:rsidRPr="005B66EC">
        <w:rPr>
          <w:rFonts w:ascii="Arial" w:hAnsi="Arial" w:cs="Arial"/>
          <w:i/>
        </w:rPr>
        <w:t>Fiduciary Activities</w:t>
      </w:r>
      <w:r w:rsidRPr="005B66EC">
        <w:rPr>
          <w:rFonts w:ascii="Arial" w:hAnsi="Arial" w:cs="Arial"/>
        </w:rPr>
        <w:t xml:space="preserve">, custodial funds that are normally expected to be received and disbursed within a 3-month period or otherwise do not meet the fiduciary activity criteria defined by GASB Statement No. 84 continue to be reported in the Statement of Net Position as funds held for others and as operating activities in the Statement of Cash Flows. </w:t>
      </w:r>
      <w:r w:rsidRPr="005B66EC">
        <w:rPr>
          <w:rFonts w:ascii="Arial" w:hAnsi="Arial" w:cs="Arial"/>
          <w:b/>
          <w:bCs/>
          <w:i/>
          <w:iCs/>
          <w:color w:val="0000FF"/>
        </w:rPr>
        <w:t>[Delete if not applicable or significant for your College.]</w:t>
      </w:r>
    </w:p>
    <w:p w14:paraId="5A635F61" w14:textId="77777777" w:rsidR="005558B6" w:rsidRPr="005B66EC" w:rsidRDefault="005558B6" w:rsidP="00DC73A5">
      <w:pPr>
        <w:spacing w:after="240" w:line="240" w:lineRule="auto"/>
        <w:ind w:left="360"/>
        <w:jc w:val="both"/>
        <w:rPr>
          <w:rFonts w:ascii="Arial" w:hAnsi="Arial" w:cs="Arial"/>
        </w:rPr>
      </w:pPr>
      <w:r w:rsidRPr="005B66EC">
        <w:rPr>
          <w:rFonts w:ascii="Arial" w:hAnsi="Arial" w:cs="Arial"/>
        </w:rPr>
        <w:t>There are no other trust or custodial funds meeting the criteria of a fiduciary activity that are required to be reported in separate fiduciary fund financial statements.</w:t>
      </w:r>
    </w:p>
    <w:p w14:paraId="314EFEBB" w14:textId="77777777" w:rsidR="005558B6" w:rsidRPr="00641103" w:rsidRDefault="005558B6" w:rsidP="00DC73A5">
      <w:pPr>
        <w:spacing w:after="240" w:line="240" w:lineRule="auto"/>
        <w:ind w:left="360" w:hanging="360"/>
        <w:jc w:val="both"/>
        <w:rPr>
          <w:rFonts w:ascii="Arial" w:hAnsi="Arial" w:cs="Arial"/>
          <w:bCs/>
        </w:rPr>
      </w:pPr>
      <w:r w:rsidRPr="005B66EC">
        <w:rPr>
          <w:rFonts w:ascii="Arial" w:eastAsia="Times New Roman" w:hAnsi="Arial" w:cs="Arial"/>
          <w:b/>
        </w:rPr>
        <w:t>K.</w:t>
      </w:r>
      <w:r w:rsidRPr="00641103">
        <w:rPr>
          <w:rFonts w:ascii="Arial" w:eastAsia="Times New Roman" w:hAnsi="Arial" w:cs="Arial"/>
          <w:b/>
        </w:rPr>
        <w:tab/>
      </w:r>
      <w:r w:rsidRPr="00641103">
        <w:rPr>
          <w:rFonts w:ascii="Arial" w:eastAsia="Times New Roman" w:hAnsi="Arial" w:cs="Arial"/>
          <w:b/>
          <w:bCs/>
        </w:rPr>
        <w:t xml:space="preserve">Noncurrent Long-Term Liabilities </w:t>
      </w:r>
      <w:r w:rsidRPr="00641103">
        <w:rPr>
          <w:rFonts w:ascii="Arial" w:eastAsia="Times New Roman" w:hAnsi="Arial" w:cs="Arial"/>
          <w:bCs/>
        </w:rPr>
        <w:t xml:space="preserve">- Noncurrent long-term liabilities include </w:t>
      </w:r>
      <w:r w:rsidRPr="00641103">
        <w:rPr>
          <w:rFonts w:ascii="Arial" w:hAnsi="Arial" w:cs="Arial"/>
          <w:bCs/>
        </w:rPr>
        <w:t xml:space="preserve">principal amounts of long-term debt and other long-term liabilities that will not be paid within </w:t>
      </w:r>
      <w:r w:rsidRPr="0088192E">
        <w:rPr>
          <w:rFonts w:ascii="Arial" w:hAnsi="Arial" w:cs="Arial"/>
          <w:bCs/>
        </w:rPr>
        <w:t xml:space="preserve">the next fiscal year. </w:t>
      </w:r>
      <w:r w:rsidRPr="00F34E2E">
        <w:rPr>
          <w:rFonts w:ascii="Arial" w:eastAsia="Times New Roman" w:hAnsi="Arial" w:cs="Arial"/>
          <w:bCs/>
        </w:rPr>
        <w:t xml:space="preserve">Debt is defined as a liability that arises from a contractual obligation to pay cash (or other assets that may be used in lieu of cash) in one or more payments to settle an </w:t>
      </w:r>
      <w:r w:rsidRPr="00F34E2E">
        <w:rPr>
          <w:rFonts w:ascii="Arial" w:eastAsia="Times New Roman" w:hAnsi="Arial" w:cs="Arial"/>
          <w:bCs/>
        </w:rPr>
        <w:lastRenderedPageBreak/>
        <w:t>amount that is fixed at the date the contractual obligation is established.</w:t>
      </w:r>
      <w:r w:rsidRPr="0088192E">
        <w:rPr>
          <w:rFonts w:ascii="Arial" w:eastAsia="Times New Roman" w:hAnsi="Arial" w:cs="Arial"/>
          <w:bCs/>
        </w:rPr>
        <w:t xml:space="preserve"> </w:t>
      </w:r>
      <w:r w:rsidRPr="0088192E">
        <w:rPr>
          <w:rFonts w:ascii="Arial" w:hAnsi="Arial" w:cs="Arial"/>
          <w:bCs/>
        </w:rPr>
        <w:t xml:space="preserve">Long-term debt includes notes </w:t>
      </w:r>
      <w:r w:rsidRPr="00F34E2E">
        <w:rPr>
          <w:rFonts w:ascii="Arial" w:hAnsi="Arial" w:cs="Arial"/>
          <w:bCs/>
        </w:rPr>
        <w:t>from direct borrowings</w:t>
      </w:r>
      <w:r w:rsidRPr="0088192E">
        <w:rPr>
          <w:rFonts w:ascii="Arial" w:hAnsi="Arial" w:cs="Arial"/>
          <w:bCs/>
        </w:rPr>
        <w:t xml:space="preserve"> and </w:t>
      </w:r>
      <w:r w:rsidRPr="005B66EC">
        <w:rPr>
          <w:rFonts w:ascii="Arial" w:hAnsi="Arial" w:cs="Arial"/>
          <w:bCs/>
          <w:highlight w:val="yellow"/>
        </w:rPr>
        <w:t>anticipation notes</w:t>
      </w:r>
      <w:r w:rsidRPr="0088192E">
        <w:rPr>
          <w:rFonts w:ascii="Arial" w:hAnsi="Arial" w:cs="Arial"/>
          <w:bCs/>
        </w:rPr>
        <w:t xml:space="preserve">. Other long-term liabilities include: </w:t>
      </w:r>
      <w:r w:rsidRPr="00F34E2E">
        <w:rPr>
          <w:rFonts w:ascii="Arial" w:hAnsi="Arial" w:cs="Arial"/>
          <w:bCs/>
        </w:rPr>
        <w:t>annuities payable, pollution remediation payable, asset retirement obligations</w:t>
      </w:r>
      <w:r w:rsidRPr="0088192E">
        <w:rPr>
          <w:rFonts w:ascii="Arial" w:hAnsi="Arial" w:cs="Arial"/>
          <w:bCs/>
        </w:rPr>
        <w:t>,</w:t>
      </w:r>
      <w:r>
        <w:rPr>
          <w:rFonts w:ascii="Arial" w:hAnsi="Arial" w:cs="Arial"/>
          <w:bCs/>
        </w:rPr>
        <w:t xml:space="preserve"> </w:t>
      </w:r>
      <w:r w:rsidRPr="005B66EC">
        <w:rPr>
          <w:rFonts w:ascii="Arial" w:hAnsi="Arial" w:cs="Arial"/>
          <w:bCs/>
          <w:highlight w:val="yellow"/>
        </w:rPr>
        <w:t>leases payable</w:t>
      </w:r>
      <w:r>
        <w:rPr>
          <w:rFonts w:ascii="Arial" w:hAnsi="Arial" w:cs="Arial"/>
          <w:bCs/>
        </w:rPr>
        <w:t>,</w:t>
      </w:r>
      <w:r w:rsidRPr="0088192E">
        <w:rPr>
          <w:rFonts w:ascii="Arial" w:hAnsi="Arial" w:cs="Arial"/>
          <w:bCs/>
        </w:rPr>
        <w:t xml:space="preserve"> </w:t>
      </w:r>
      <w:r w:rsidRPr="005B66EC">
        <w:rPr>
          <w:rFonts w:ascii="Arial" w:hAnsi="Arial" w:cs="Arial"/>
          <w:bCs/>
          <w:highlight w:val="yellow"/>
        </w:rPr>
        <w:t>compensated absences</w:t>
      </w:r>
      <w:r>
        <w:rPr>
          <w:rFonts w:ascii="Arial" w:hAnsi="Arial" w:cs="Arial"/>
          <w:bCs/>
        </w:rPr>
        <w:t xml:space="preserve">, </w:t>
      </w:r>
      <w:r w:rsidRPr="0088192E">
        <w:rPr>
          <w:rFonts w:ascii="Arial" w:hAnsi="Arial" w:cs="Arial"/>
          <w:bCs/>
        </w:rPr>
        <w:t>net pension liability, and net other postemployment benefits (OPEB) liability.</w:t>
      </w:r>
      <w:r w:rsidRPr="00641103">
        <w:rPr>
          <w:rFonts w:ascii="Arial" w:hAnsi="Arial" w:cs="Arial"/>
          <w:bCs/>
        </w:rPr>
        <w:t xml:space="preserve"> </w:t>
      </w:r>
    </w:p>
    <w:p w14:paraId="3E8F1464" w14:textId="77777777" w:rsidR="005558B6" w:rsidRPr="00026DE7" w:rsidRDefault="005558B6" w:rsidP="00DC73A5">
      <w:pPr>
        <w:spacing w:after="240" w:line="240" w:lineRule="auto"/>
        <w:ind w:left="360"/>
        <w:jc w:val="both"/>
        <w:rPr>
          <w:rFonts w:ascii="Arial" w:eastAsia="Times New Roman" w:hAnsi="Arial" w:cs="Arial"/>
          <w:b/>
          <w:bCs/>
          <w:i/>
          <w:iCs/>
          <w:color w:val="0000FF"/>
        </w:rPr>
      </w:pPr>
      <w:r w:rsidRPr="00641103">
        <w:rPr>
          <w:rFonts w:ascii="Arial" w:eastAsia="Times New Roman" w:hAnsi="Arial" w:cs="Arial"/>
          <w:bCs/>
          <w:iCs/>
        </w:rPr>
        <w:t xml:space="preserve">The net pension liability represents the College’s proportionate share of the </w:t>
      </w:r>
      <w:r w:rsidRPr="00026DE7">
        <w:rPr>
          <w:rFonts w:ascii="Arial" w:eastAsia="Times New Roman" w:hAnsi="Arial" w:cs="Arial"/>
          <w:bCs/>
          <w:iCs/>
        </w:rPr>
        <w:t>collective net pension liability reported in the State of North Carolina’s 202</w:t>
      </w:r>
      <w:r>
        <w:rPr>
          <w:rFonts w:ascii="Arial" w:eastAsia="Times New Roman" w:hAnsi="Arial" w:cs="Arial"/>
          <w:bCs/>
          <w:iCs/>
        </w:rPr>
        <w:t>1</w:t>
      </w:r>
      <w:r w:rsidRPr="00026DE7">
        <w:rPr>
          <w:rFonts w:ascii="Arial" w:eastAsia="Times New Roman" w:hAnsi="Arial" w:cs="Arial"/>
          <w:bCs/>
          <w:iCs/>
        </w:rPr>
        <w:t xml:space="preserve"> </w:t>
      </w:r>
      <w:r w:rsidRPr="0007156C">
        <w:rPr>
          <w:rFonts w:ascii="Arial" w:eastAsia="Times New Roman" w:hAnsi="Arial" w:cs="Arial"/>
          <w:bCs/>
          <w:i/>
          <w:iCs/>
          <w:highlight w:val="yellow"/>
        </w:rPr>
        <w:t xml:space="preserve">Annual Comprehensive </w:t>
      </w:r>
      <w:r w:rsidRPr="00026DE7">
        <w:rPr>
          <w:rFonts w:ascii="Arial" w:eastAsia="Times New Roman" w:hAnsi="Arial" w:cs="Arial"/>
          <w:bCs/>
          <w:i/>
          <w:iCs/>
        </w:rPr>
        <w:t>Financial Report.</w:t>
      </w:r>
      <w:r w:rsidRPr="00026DE7">
        <w:rPr>
          <w:rFonts w:ascii="Arial" w:eastAsia="Times New Roman" w:hAnsi="Arial" w:cs="Arial"/>
          <w:bCs/>
          <w:iCs/>
        </w:rPr>
        <w:t xml:space="preserve"> This liability represents the College’s portion of the collective total pension liability less the fiduciary net position of the Teachers’ and State Employees’ Retirement System. See Note </w:t>
      </w:r>
      <w:r w:rsidRPr="00026DE7">
        <w:rPr>
          <w:rFonts w:ascii="Arial" w:eastAsia="Times New Roman" w:hAnsi="Arial" w:cs="Arial"/>
          <w:b/>
          <w:bCs/>
          <w:iCs/>
          <w:color w:val="0000FF"/>
        </w:rPr>
        <w:t>XX</w:t>
      </w:r>
      <w:r w:rsidRPr="00026DE7">
        <w:rPr>
          <w:rFonts w:ascii="Arial" w:eastAsia="Times New Roman" w:hAnsi="Arial" w:cs="Arial"/>
          <w:bCs/>
          <w:iCs/>
        </w:rPr>
        <w:t xml:space="preserve"> for further information regarding the College’s policies for recognizing liabilities, expenses, deferred outflows of resources, and deferred inflows of resources related to pensions.</w:t>
      </w:r>
      <w:r w:rsidRPr="00026DE7">
        <w:rPr>
          <w:rFonts w:ascii="Arial" w:eastAsia="Times New Roman" w:hAnsi="Arial" w:cs="Arial"/>
          <w:b/>
          <w:bCs/>
          <w:i/>
          <w:iCs/>
          <w:color w:val="0000FF"/>
        </w:rPr>
        <w:t xml:space="preserve"> [Note to preparer: Your entity’s net pension liability is based upon the 202</w:t>
      </w:r>
      <w:r>
        <w:rPr>
          <w:rFonts w:ascii="Arial" w:eastAsia="Times New Roman" w:hAnsi="Arial" w:cs="Arial"/>
          <w:b/>
          <w:bCs/>
          <w:i/>
          <w:iCs/>
          <w:color w:val="0000FF"/>
        </w:rPr>
        <w:t>1</w:t>
      </w:r>
      <w:r w:rsidRPr="00026DE7">
        <w:rPr>
          <w:rFonts w:ascii="Arial" w:eastAsia="Times New Roman" w:hAnsi="Arial" w:cs="Arial"/>
          <w:b/>
          <w:bCs/>
          <w:i/>
          <w:iCs/>
          <w:color w:val="0000FF"/>
        </w:rPr>
        <w:t xml:space="preserve"> </w:t>
      </w:r>
      <w:r w:rsidRPr="005B66EC">
        <w:rPr>
          <w:rFonts w:ascii="Arial" w:eastAsia="Times New Roman" w:hAnsi="Arial" w:cs="Arial"/>
          <w:b/>
          <w:bCs/>
          <w:i/>
          <w:iCs/>
          <w:color w:val="0000FF"/>
          <w:highlight w:val="yellow"/>
        </w:rPr>
        <w:t>ACFR</w:t>
      </w:r>
      <w:r>
        <w:rPr>
          <w:rFonts w:ascii="Arial" w:eastAsia="Times New Roman" w:hAnsi="Arial" w:cs="Arial"/>
          <w:b/>
          <w:bCs/>
          <w:i/>
          <w:iCs/>
          <w:color w:val="0000FF"/>
        </w:rPr>
        <w:t xml:space="preserve"> </w:t>
      </w:r>
      <w:r w:rsidRPr="00026DE7">
        <w:rPr>
          <w:rFonts w:ascii="Arial" w:eastAsia="Times New Roman" w:hAnsi="Arial" w:cs="Arial"/>
          <w:b/>
          <w:bCs/>
          <w:i/>
          <w:iCs/>
          <w:color w:val="0000FF"/>
        </w:rPr>
        <w:t>for your FY202</w:t>
      </w:r>
      <w:r>
        <w:rPr>
          <w:rFonts w:ascii="Arial" w:eastAsia="Times New Roman" w:hAnsi="Arial" w:cs="Arial"/>
          <w:b/>
          <w:bCs/>
          <w:i/>
          <w:iCs/>
          <w:color w:val="0000FF"/>
        </w:rPr>
        <w:t>2</w:t>
      </w:r>
      <w:r w:rsidRPr="00026DE7">
        <w:rPr>
          <w:rFonts w:ascii="Arial" w:eastAsia="Times New Roman" w:hAnsi="Arial" w:cs="Arial"/>
          <w:b/>
          <w:bCs/>
          <w:i/>
          <w:iCs/>
          <w:color w:val="0000FF"/>
        </w:rPr>
        <w:t xml:space="preserve"> statements and as such the references to </w:t>
      </w:r>
      <w:r w:rsidRPr="00026DE7">
        <w:rPr>
          <w:rFonts w:ascii="Arial" w:eastAsia="Times New Roman" w:hAnsi="Arial" w:cs="Arial"/>
          <w:b/>
          <w:bCs/>
          <w:i/>
          <w:iCs/>
          <w:color w:val="0000FF"/>
          <w:u w:val="single"/>
        </w:rPr>
        <w:t>202</w:t>
      </w:r>
      <w:r>
        <w:rPr>
          <w:rFonts w:ascii="Arial" w:eastAsia="Times New Roman" w:hAnsi="Arial" w:cs="Arial"/>
          <w:b/>
          <w:bCs/>
          <w:i/>
          <w:iCs/>
          <w:color w:val="0000FF"/>
          <w:u w:val="single"/>
        </w:rPr>
        <w:t>1</w:t>
      </w:r>
      <w:r w:rsidRPr="00026DE7">
        <w:rPr>
          <w:rFonts w:ascii="Arial" w:eastAsia="Times New Roman" w:hAnsi="Arial" w:cs="Arial"/>
          <w:b/>
          <w:bCs/>
          <w:i/>
          <w:iCs/>
          <w:color w:val="0000FF"/>
        </w:rPr>
        <w:t xml:space="preserve"> are accurate and should not be changed.] </w:t>
      </w:r>
    </w:p>
    <w:p w14:paraId="120E0C9C" w14:textId="77777777" w:rsidR="005558B6" w:rsidRPr="00641103" w:rsidRDefault="005558B6" w:rsidP="00DC73A5">
      <w:pPr>
        <w:spacing w:after="240" w:line="240" w:lineRule="auto"/>
        <w:ind w:left="360"/>
        <w:jc w:val="both"/>
        <w:rPr>
          <w:rFonts w:ascii="Arial" w:eastAsia="Times New Roman" w:hAnsi="Arial" w:cs="Arial"/>
          <w:bCs/>
          <w:iCs/>
        </w:rPr>
      </w:pPr>
      <w:r w:rsidRPr="00026DE7">
        <w:rPr>
          <w:rFonts w:ascii="Arial" w:eastAsia="Times New Roman" w:hAnsi="Arial" w:cs="Arial"/>
          <w:bCs/>
          <w:iCs/>
        </w:rPr>
        <w:t>The net OPEB liability represents the College’s proportionate share of the collective net OPEB liability reported in the State of North Carolina’s 202</w:t>
      </w:r>
      <w:r>
        <w:rPr>
          <w:rFonts w:ascii="Arial" w:eastAsia="Times New Roman" w:hAnsi="Arial" w:cs="Arial"/>
          <w:bCs/>
          <w:iCs/>
        </w:rPr>
        <w:t>1</w:t>
      </w:r>
      <w:r w:rsidRPr="00026DE7">
        <w:rPr>
          <w:rFonts w:ascii="Arial" w:eastAsia="Times New Roman" w:hAnsi="Arial" w:cs="Arial"/>
          <w:bCs/>
          <w:iCs/>
        </w:rPr>
        <w:t xml:space="preserve"> </w:t>
      </w:r>
      <w:r w:rsidRPr="0007156C">
        <w:rPr>
          <w:rFonts w:ascii="Arial" w:eastAsia="Times New Roman" w:hAnsi="Arial" w:cs="Arial"/>
          <w:bCs/>
          <w:i/>
          <w:iCs/>
          <w:highlight w:val="yellow"/>
        </w:rPr>
        <w:t>Annual Comprehensive</w:t>
      </w:r>
      <w:r w:rsidRPr="005B66EC">
        <w:rPr>
          <w:rFonts w:ascii="Arial" w:eastAsia="Times New Roman" w:hAnsi="Arial" w:cs="Arial"/>
          <w:bCs/>
          <w:i/>
          <w:iCs/>
        </w:rPr>
        <w:t xml:space="preserve"> </w:t>
      </w:r>
      <w:r w:rsidRPr="00026DE7">
        <w:rPr>
          <w:rFonts w:ascii="Arial" w:eastAsia="Times New Roman" w:hAnsi="Arial" w:cs="Arial"/>
          <w:bCs/>
          <w:i/>
          <w:iCs/>
        </w:rPr>
        <w:t>Financial Report</w:t>
      </w:r>
      <w:r w:rsidRPr="00026DE7">
        <w:rPr>
          <w:rFonts w:ascii="Arial" w:eastAsia="Times New Roman" w:hAnsi="Arial" w:cs="Arial"/>
          <w:bCs/>
          <w:iCs/>
        </w:rPr>
        <w:t>. This liability represents the College’s portion of the collective total OPEB liability less the fiduciary net position of the Retiree</w:t>
      </w:r>
      <w:r w:rsidRPr="00641103">
        <w:rPr>
          <w:rFonts w:ascii="Arial" w:eastAsia="Times New Roman" w:hAnsi="Arial" w:cs="Arial"/>
          <w:bCs/>
          <w:iCs/>
        </w:rPr>
        <w:t xml:space="preserve"> Health Benefit Fund. See Note </w:t>
      </w:r>
      <w:r w:rsidRPr="00D21499">
        <w:rPr>
          <w:rFonts w:ascii="Arial" w:eastAsia="Times New Roman" w:hAnsi="Arial" w:cs="Arial"/>
          <w:b/>
          <w:bCs/>
          <w:iCs/>
          <w:color w:val="0000FF"/>
        </w:rPr>
        <w:t>XX</w:t>
      </w:r>
      <w:r w:rsidRPr="00641103">
        <w:rPr>
          <w:rFonts w:ascii="Arial" w:eastAsia="Times New Roman" w:hAnsi="Arial" w:cs="Arial"/>
          <w:bCs/>
          <w:iCs/>
        </w:rPr>
        <w:t xml:space="preserve"> for further information regarding the College’s policies for recognizing liabilities, expenses, deferred outflows of resources, and deferred inflows of resources related to OPEB. </w:t>
      </w:r>
      <w:r w:rsidRPr="00641103">
        <w:rPr>
          <w:rFonts w:ascii="Arial" w:eastAsia="Times New Roman" w:hAnsi="Arial" w:cs="Arial"/>
          <w:b/>
          <w:bCs/>
          <w:i/>
          <w:iCs/>
          <w:color w:val="0000FF"/>
        </w:rPr>
        <w:t xml:space="preserve">[Note to preparer: Your entity’s net OPEB liability is based upon the </w:t>
      </w:r>
      <w:r>
        <w:rPr>
          <w:rFonts w:ascii="Arial" w:eastAsia="Times New Roman" w:hAnsi="Arial" w:cs="Arial"/>
          <w:b/>
          <w:bCs/>
          <w:i/>
          <w:iCs/>
          <w:color w:val="0000FF"/>
        </w:rPr>
        <w:t>2021</w:t>
      </w:r>
      <w:r w:rsidRPr="00641103">
        <w:rPr>
          <w:rFonts w:ascii="Arial" w:eastAsia="Times New Roman" w:hAnsi="Arial" w:cs="Arial"/>
          <w:b/>
          <w:bCs/>
          <w:i/>
          <w:iCs/>
          <w:color w:val="0000FF"/>
        </w:rPr>
        <w:t xml:space="preserve"> </w:t>
      </w:r>
      <w:r w:rsidRPr="005B66EC">
        <w:rPr>
          <w:rFonts w:ascii="Arial" w:eastAsia="Times New Roman" w:hAnsi="Arial" w:cs="Arial"/>
          <w:b/>
          <w:bCs/>
          <w:i/>
          <w:iCs/>
          <w:color w:val="0000FF"/>
          <w:highlight w:val="yellow"/>
        </w:rPr>
        <w:t xml:space="preserve">ACFR </w:t>
      </w:r>
      <w:r w:rsidRPr="00641103">
        <w:rPr>
          <w:rFonts w:ascii="Arial" w:eastAsia="Times New Roman" w:hAnsi="Arial" w:cs="Arial"/>
          <w:b/>
          <w:bCs/>
          <w:i/>
          <w:iCs/>
          <w:color w:val="0000FF"/>
        </w:rPr>
        <w:t>for your FY</w:t>
      </w:r>
      <w:r>
        <w:rPr>
          <w:rFonts w:ascii="Arial" w:eastAsia="Times New Roman" w:hAnsi="Arial" w:cs="Arial"/>
          <w:b/>
          <w:bCs/>
          <w:i/>
          <w:iCs/>
          <w:color w:val="0000FF"/>
        </w:rPr>
        <w:t>2022</w:t>
      </w:r>
      <w:r w:rsidRPr="00641103">
        <w:rPr>
          <w:rFonts w:ascii="Arial" w:eastAsia="Times New Roman" w:hAnsi="Arial" w:cs="Arial"/>
          <w:b/>
          <w:bCs/>
          <w:i/>
          <w:iCs/>
          <w:color w:val="0000FF"/>
        </w:rPr>
        <w:t xml:space="preserve"> statements and as such the references to </w:t>
      </w:r>
      <w:r w:rsidRPr="00641103">
        <w:rPr>
          <w:rFonts w:ascii="Arial" w:eastAsia="Times New Roman" w:hAnsi="Arial" w:cs="Arial"/>
          <w:b/>
          <w:bCs/>
          <w:i/>
          <w:iCs/>
          <w:color w:val="0000FF"/>
          <w:u w:val="single"/>
        </w:rPr>
        <w:t>20</w:t>
      </w:r>
      <w:r>
        <w:rPr>
          <w:rFonts w:ascii="Arial" w:eastAsia="Times New Roman" w:hAnsi="Arial" w:cs="Arial"/>
          <w:b/>
          <w:bCs/>
          <w:i/>
          <w:iCs/>
          <w:color w:val="0000FF"/>
          <w:u w:val="single"/>
        </w:rPr>
        <w:t>21</w:t>
      </w:r>
      <w:r w:rsidRPr="00641103">
        <w:rPr>
          <w:rFonts w:ascii="Arial" w:eastAsia="Times New Roman" w:hAnsi="Arial" w:cs="Arial"/>
          <w:b/>
          <w:bCs/>
          <w:i/>
          <w:iCs/>
          <w:color w:val="0000FF"/>
        </w:rPr>
        <w:t xml:space="preserve"> are accurate and should not be changed.]</w:t>
      </w:r>
    </w:p>
    <w:p w14:paraId="40066CB4" w14:textId="77777777" w:rsidR="005558B6" w:rsidRPr="00641103" w:rsidRDefault="005558B6" w:rsidP="00DC73A5">
      <w:pPr>
        <w:spacing w:after="240" w:line="240" w:lineRule="auto"/>
        <w:ind w:left="360" w:hanging="360"/>
        <w:jc w:val="both"/>
        <w:rPr>
          <w:rFonts w:ascii="Arial" w:eastAsia="Times New Roman" w:hAnsi="Arial" w:cs="Arial"/>
        </w:rPr>
      </w:pPr>
      <w:r w:rsidRPr="005B66EC">
        <w:rPr>
          <w:rFonts w:ascii="Arial" w:eastAsia="Times New Roman" w:hAnsi="Arial" w:cs="Arial"/>
          <w:b/>
        </w:rPr>
        <w:t>L.</w:t>
      </w:r>
      <w:r w:rsidRPr="00641103">
        <w:rPr>
          <w:rFonts w:ascii="Arial" w:eastAsia="Times New Roman" w:hAnsi="Arial" w:cs="Arial"/>
          <w:b/>
        </w:rPr>
        <w:tab/>
        <w:t xml:space="preserve">Compensated Absences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The College’s policy is to record the cost of vacation leave when earned. The policy provides for a maximum accumulation of unused vacation leave of 30 days which can be carried forward each January 1 or for which an employee can be paid upon termination of employment. When classifying compensated absences into current and noncurrent, leave is considered taken using a last-in, first-out (LIFO) method. Also, any accumulated vacation leave in excess of 30 days at year-end is converted to sick leave. Under this policy, the accumulated vacation leave for each employee at June 30 equals the leave carried forward at the previous December 31 plus the leave earned, less the leave taken between January 1 and June 30. </w:t>
      </w:r>
      <w:r w:rsidRPr="00641103">
        <w:rPr>
          <w:rFonts w:ascii="Arial" w:eastAsia="Times New Roman" w:hAnsi="Arial" w:cs="Arial"/>
          <w:b/>
          <w:i/>
          <w:color w:val="0000FF"/>
        </w:rPr>
        <w:t>[Revise wording to actual policy of the College, if different from above.]</w:t>
      </w:r>
    </w:p>
    <w:p w14:paraId="5184F96D"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rPr>
        <w:t xml:space="preserve">In addition to the vacation leave described above, compensated absences include the accumulated unused portion of the special annual leave bonuses awarded by the North Carolina General Assembly. The bonus leave balance on December 31 is retained by employees and transferred into the next calendar year. It is not subject to the limitation on annual leave carried forward described above and is not subject to conversion to sick leave. </w:t>
      </w:r>
      <w:r w:rsidRPr="00641103">
        <w:rPr>
          <w:rFonts w:ascii="Arial" w:eastAsia="Times New Roman" w:hAnsi="Arial" w:cs="Arial"/>
          <w:b/>
          <w:i/>
          <w:color w:val="0000FF"/>
        </w:rPr>
        <w:t>[Revise wording to actual practice of the College. Not all Colleges awarded bonus leave since they were not required to.]</w:t>
      </w:r>
    </w:p>
    <w:p w14:paraId="7561A1BC"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rPr>
        <w:t>There is no liability for unpaid accumulated sick leave because the College has no obligation to pay sick leave upon termination or retirement. However, additional service credit for retirement pension benefits is given for accumulated sick leave upon retirement.</w:t>
      </w:r>
    </w:p>
    <w:p w14:paraId="3D86B304" w14:textId="7E495215" w:rsidR="005558B6" w:rsidRDefault="005558B6" w:rsidP="00DC73A5">
      <w:pPr>
        <w:autoSpaceDE w:val="0"/>
        <w:autoSpaceDN w:val="0"/>
        <w:adjustRightInd w:val="0"/>
        <w:spacing w:after="240" w:line="240" w:lineRule="auto"/>
        <w:ind w:left="360" w:hanging="360"/>
        <w:jc w:val="both"/>
        <w:rPr>
          <w:rFonts w:ascii="Arial" w:hAnsi="Arial" w:cs="Arial"/>
          <w:b/>
          <w:i/>
          <w:color w:val="0000FF"/>
        </w:rPr>
      </w:pPr>
      <w:r w:rsidRPr="005B66EC">
        <w:rPr>
          <w:rFonts w:ascii="Arial" w:eastAsia="Times New Roman" w:hAnsi="Arial" w:cs="Arial"/>
          <w:b/>
        </w:rPr>
        <w:t>M.</w:t>
      </w:r>
      <w:r w:rsidRPr="00641103">
        <w:rPr>
          <w:rFonts w:ascii="Arial" w:eastAsia="Times New Roman" w:hAnsi="Arial" w:cs="Arial"/>
          <w:b/>
        </w:rPr>
        <w:t xml:space="preserve"> </w:t>
      </w:r>
      <w:r w:rsidRPr="00641103">
        <w:rPr>
          <w:rFonts w:ascii="Arial" w:eastAsia="Times New Roman" w:hAnsi="Arial" w:cs="Arial"/>
          <w:b/>
        </w:rPr>
        <w:tab/>
        <w:t xml:space="preserve">Deferred Outflows/Inflows of </w:t>
      </w:r>
      <w:r w:rsidRPr="00AE2160">
        <w:rPr>
          <w:rFonts w:ascii="Arial" w:eastAsia="Times New Roman" w:hAnsi="Arial" w:cs="Arial"/>
          <w:b/>
        </w:rPr>
        <w:t xml:space="preserve">Resources </w:t>
      </w:r>
      <w:r w:rsidRPr="00AE2160">
        <w:rPr>
          <w:rFonts w:ascii="Arial" w:eastAsia="Times New Roman" w:hAnsi="Arial" w:cs="Arial"/>
        </w:rPr>
        <w:t>-</w:t>
      </w:r>
      <w:r w:rsidRPr="00AE2160">
        <w:rPr>
          <w:rFonts w:ascii="Arial" w:eastAsia="Times New Roman" w:hAnsi="Arial" w:cs="Arial"/>
          <w:b/>
        </w:rPr>
        <w:t xml:space="preserve"> </w:t>
      </w:r>
      <w:r w:rsidRPr="00AE2160">
        <w:rPr>
          <w:rFonts w:ascii="Arial" w:eastAsia="Calibri" w:hAnsi="Arial" w:cs="Arial"/>
          <w:iCs/>
        </w:rPr>
        <w:t>Deferred outflows of resources</w:t>
      </w:r>
      <w:r w:rsidRPr="00AE2160">
        <w:rPr>
          <w:rFonts w:ascii="Arial" w:eastAsia="Calibri" w:hAnsi="Arial" w:cs="Arial"/>
        </w:rPr>
        <w:t xml:space="preserve"> represent a consumption of net </w:t>
      </w:r>
      <w:r w:rsidR="00EC12ED" w:rsidRPr="006F1CAF">
        <w:rPr>
          <w:rFonts w:ascii="Arial" w:eastAsia="Calibri" w:hAnsi="Arial" w:cs="Arial"/>
          <w:highlight w:val="green"/>
        </w:rPr>
        <w:t>assets</w:t>
      </w:r>
      <w:r w:rsidRPr="00A6673D">
        <w:rPr>
          <w:rFonts w:ascii="Arial" w:eastAsia="Calibri" w:hAnsi="Arial" w:cs="Arial"/>
        </w:rPr>
        <w:t xml:space="preserve"> </w:t>
      </w:r>
      <w:r w:rsidRPr="00AE2160">
        <w:rPr>
          <w:rFonts w:ascii="Arial" w:eastAsia="Calibri" w:hAnsi="Arial" w:cs="Arial"/>
        </w:rPr>
        <w:t xml:space="preserve">that applies to a future period(s) and so will not be recognized </w:t>
      </w:r>
      <w:r w:rsidRPr="00AE2160">
        <w:rPr>
          <w:rFonts w:ascii="Arial" w:eastAsia="Calibri" w:hAnsi="Arial" w:cs="Arial"/>
        </w:rPr>
        <w:lastRenderedPageBreak/>
        <w:t xml:space="preserve">as an outflow of resources (expense) until then. </w:t>
      </w:r>
      <w:r w:rsidRPr="00AE2160">
        <w:rPr>
          <w:rFonts w:ascii="Arial" w:eastAsia="Calibri" w:hAnsi="Arial" w:cs="Arial"/>
          <w:iCs/>
        </w:rPr>
        <w:t xml:space="preserve">Deferred inflows of resources </w:t>
      </w:r>
      <w:r w:rsidRPr="00AE2160">
        <w:rPr>
          <w:rFonts w:ascii="Arial" w:eastAsia="Calibri" w:hAnsi="Arial" w:cs="Arial"/>
        </w:rPr>
        <w:t xml:space="preserve">represent an acquisition of net </w:t>
      </w:r>
      <w:r w:rsidR="00EC12ED" w:rsidRPr="006F1CAF">
        <w:rPr>
          <w:rFonts w:ascii="Arial" w:eastAsia="Calibri" w:hAnsi="Arial" w:cs="Arial"/>
          <w:highlight w:val="green"/>
        </w:rPr>
        <w:t>assets</w:t>
      </w:r>
      <w:r w:rsidRPr="00A6673D">
        <w:rPr>
          <w:rFonts w:ascii="Arial" w:eastAsia="Calibri" w:hAnsi="Arial" w:cs="Arial"/>
        </w:rPr>
        <w:t xml:space="preserve"> </w:t>
      </w:r>
      <w:r w:rsidRPr="00AE2160">
        <w:rPr>
          <w:rFonts w:ascii="Arial" w:eastAsia="Calibri" w:hAnsi="Arial" w:cs="Arial"/>
        </w:rPr>
        <w:t>that applies to a future period(s) and so will not be recognized as an inflow of resources (revenue) until then.</w:t>
      </w:r>
    </w:p>
    <w:p w14:paraId="3B276A3B" w14:textId="77777777" w:rsidR="005558B6" w:rsidRPr="00641103" w:rsidRDefault="005558B6" w:rsidP="00DC73A5">
      <w:pPr>
        <w:spacing w:after="240" w:line="240" w:lineRule="auto"/>
        <w:ind w:left="360" w:hanging="360"/>
        <w:jc w:val="both"/>
        <w:rPr>
          <w:rFonts w:ascii="Arial" w:eastAsia="Times New Roman" w:hAnsi="Arial" w:cs="Arial"/>
        </w:rPr>
      </w:pPr>
      <w:r w:rsidRPr="005B66EC">
        <w:rPr>
          <w:rFonts w:ascii="Arial" w:eastAsia="Times New Roman" w:hAnsi="Arial" w:cs="Arial"/>
          <w:b/>
        </w:rPr>
        <w:t>N.</w:t>
      </w:r>
      <w:r w:rsidRPr="00641103">
        <w:rPr>
          <w:rFonts w:ascii="Arial" w:eastAsia="Times New Roman" w:hAnsi="Arial" w:cs="Arial"/>
          <w:b/>
        </w:rPr>
        <w:tab/>
        <w:t xml:space="preserve">Net Position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The College’s net position is classified as follows:</w:t>
      </w:r>
    </w:p>
    <w:p w14:paraId="722328C8" w14:textId="77777777" w:rsidR="005558B6" w:rsidRPr="00641103" w:rsidRDefault="005558B6" w:rsidP="00E57E97">
      <w:pPr>
        <w:spacing w:after="240" w:line="240" w:lineRule="auto"/>
        <w:ind w:left="360"/>
        <w:jc w:val="both"/>
        <w:rPr>
          <w:rFonts w:ascii="Arial" w:eastAsia="Times New Roman" w:hAnsi="Arial" w:cs="Arial"/>
        </w:rPr>
      </w:pPr>
      <w:r w:rsidRPr="00641103">
        <w:rPr>
          <w:rFonts w:ascii="Arial" w:eastAsia="Times New Roman" w:hAnsi="Arial" w:cs="Arial"/>
          <w:b/>
        </w:rPr>
        <w:t xml:space="preserve">Net Investment in Capital Assets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This represents the College’s total investment in capital assets, net of outstanding liabilities related to those capital assets. Additionally, deferred outflows of resources and deferred inflows of resources that are attributable to the acquisition, construction, or improvement of capital assets or related debt are also included in this component of net position.</w:t>
      </w:r>
      <w:r w:rsidRPr="00641103">
        <w:rPr>
          <w:rFonts w:ascii="Arial" w:eastAsia="Times New Roman" w:hAnsi="Arial" w:cs="Arial"/>
          <w:b/>
          <w:i/>
          <w:color w:val="0000FF"/>
        </w:rPr>
        <w:t xml:space="preserve"> [Delete last sentence in this paragraph if not applicable to your entity. Additionally, remove the word ‘Net’ from this paragraph’s heading if there are no liabilities related to capital </w:t>
      </w:r>
      <w:r w:rsidRPr="00AE2160">
        <w:rPr>
          <w:rFonts w:ascii="Arial" w:eastAsia="Times New Roman" w:hAnsi="Arial" w:cs="Arial"/>
          <w:b/>
          <w:i/>
          <w:color w:val="0000FF"/>
        </w:rPr>
        <w:t xml:space="preserve">assets at your institution. Liabilities related to capital assets include retainage payable and any accounts payable that are attributable to the acquisition, construction, or improvement of capital assets. </w:t>
      </w:r>
      <w:r w:rsidRPr="00AE2160">
        <w:rPr>
          <w:rFonts w:ascii="Arial" w:hAnsi="Arial" w:cs="Arial"/>
          <w:b/>
          <w:i/>
          <w:color w:val="0000FF"/>
        </w:rPr>
        <w:t>See GASB Codification Section 2200.118 and 2200.709 for further guidance.]</w:t>
      </w:r>
    </w:p>
    <w:p w14:paraId="49E06835"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b/>
        </w:rPr>
        <w:t xml:space="preserve">Restricted Net Position </w:t>
      </w:r>
      <w:r w:rsidRPr="00641103">
        <w:rPr>
          <w:rFonts w:ascii="Arial" w:eastAsia="Times New Roman" w:hAnsi="Arial" w:cs="Arial"/>
        </w:rPr>
        <w:t>-</w:t>
      </w:r>
      <w:r w:rsidRPr="00641103">
        <w:rPr>
          <w:rFonts w:ascii="Arial" w:eastAsia="Times New Roman" w:hAnsi="Arial" w:cs="Arial"/>
          <w:b/>
        </w:rPr>
        <w:t xml:space="preserve"> Nonexpendable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Nonexpendable restricted net position includes endowments and similar type assets whose use is limited by donors or other outside sources, and, as a condition of the gift, the principal is to be maintained in perpetuity.</w:t>
      </w:r>
    </w:p>
    <w:p w14:paraId="410A944B"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b/>
        </w:rPr>
        <w:t xml:space="preserve">Restricted Net Position </w:t>
      </w:r>
      <w:r w:rsidRPr="00641103">
        <w:rPr>
          <w:rFonts w:ascii="Arial" w:eastAsia="Times New Roman" w:hAnsi="Arial" w:cs="Arial"/>
        </w:rPr>
        <w:t>-</w:t>
      </w:r>
      <w:r w:rsidRPr="00641103">
        <w:rPr>
          <w:rFonts w:ascii="Arial" w:eastAsia="Times New Roman" w:hAnsi="Arial" w:cs="Arial"/>
          <w:b/>
        </w:rPr>
        <w:t xml:space="preserve"> Expendable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Expendable restricted net position includes resources for which the College is legally or contractually obligated to spend in accordance with restrictions imposed by external parties.</w:t>
      </w:r>
    </w:p>
    <w:p w14:paraId="4DE7CF52"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b/>
        </w:rPr>
        <w:t xml:space="preserve">Unrestricted Net Position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Unrestricted net position includes resources derived from student tuition and fees, sales and services, unrestricted gifts, and interest income. </w:t>
      </w:r>
      <w:r w:rsidRPr="00641103">
        <w:rPr>
          <w:rFonts w:ascii="Arial" w:hAnsi="Arial" w:cs="Arial"/>
        </w:rPr>
        <w:t>It also includes the net position of accrued employee benefits such as compensated absences, pension plans, and other postemployment benefits.</w:t>
      </w:r>
    </w:p>
    <w:p w14:paraId="510960F8"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rPr>
        <w:t xml:space="preserve">Restricted and unrestricted resources are tracked using a fund accounting system and are spent in accordance with established fund authorities. Fund authorities provide rules for the fund activity and are separately established for restricted and unrestricted activities. When both restricted and unrestricted funds are available for expenditure, the decision for funding is transactional based within the departmental management system in place at the College. Both restricted and unrestricted net position include consideration of deferred outflows of resources and deferred inflows of resources. </w:t>
      </w:r>
      <w:r w:rsidRPr="00641103">
        <w:rPr>
          <w:rFonts w:ascii="Arial" w:hAnsi="Arial" w:cs="Arial"/>
        </w:rPr>
        <w:t xml:space="preserve">See Note </w:t>
      </w:r>
      <w:r w:rsidRPr="00D21499">
        <w:rPr>
          <w:rFonts w:ascii="Arial" w:hAnsi="Arial" w:cs="Arial"/>
          <w:b/>
          <w:color w:val="0000FF"/>
        </w:rPr>
        <w:t>XX</w:t>
      </w:r>
      <w:r w:rsidRPr="00641103">
        <w:rPr>
          <w:rFonts w:ascii="Arial" w:hAnsi="Arial" w:cs="Arial"/>
        </w:rPr>
        <w:t xml:space="preserve"> for further information regarding deferred outflows of resources and deferred inflows of resources that had a significant effect on unrestricted net position.</w:t>
      </w:r>
    </w:p>
    <w:p w14:paraId="6FD9DE50" w14:textId="77777777" w:rsidR="005558B6" w:rsidRPr="00641103" w:rsidRDefault="005558B6" w:rsidP="00DC73A5">
      <w:pPr>
        <w:spacing w:after="240" w:line="240" w:lineRule="auto"/>
        <w:ind w:left="360" w:hanging="360"/>
        <w:jc w:val="both"/>
        <w:rPr>
          <w:rFonts w:ascii="Arial" w:eastAsia="Times New Roman" w:hAnsi="Arial" w:cs="Arial"/>
        </w:rPr>
      </w:pPr>
      <w:r w:rsidRPr="005B66EC">
        <w:rPr>
          <w:rFonts w:ascii="Arial" w:eastAsia="Times New Roman" w:hAnsi="Arial" w:cs="Arial"/>
          <w:b/>
          <w:bCs/>
        </w:rPr>
        <w:t>O.</w:t>
      </w:r>
      <w:r w:rsidRPr="00641103">
        <w:rPr>
          <w:rFonts w:ascii="Arial" w:eastAsia="Times New Roman" w:hAnsi="Arial" w:cs="Arial"/>
          <w:b/>
          <w:bCs/>
        </w:rPr>
        <w:tab/>
        <w:t xml:space="preserve">Scholarship Discounts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 xml:space="preserve">Student tuition and fees revenues </w:t>
      </w:r>
      <w:r w:rsidRPr="00D21499">
        <w:rPr>
          <w:rFonts w:ascii="Arial" w:eastAsia="Times New Roman" w:hAnsi="Arial" w:cs="Arial"/>
          <w:b/>
          <w:color w:val="0000FF"/>
        </w:rPr>
        <w:t>[and certain other revenues]</w:t>
      </w:r>
      <w:r w:rsidRPr="00641103">
        <w:rPr>
          <w:rFonts w:ascii="Arial" w:eastAsia="Times New Roman" w:hAnsi="Arial" w:cs="Arial"/>
        </w:rPr>
        <w:t xml:space="preserve"> from College charges are reported net of scholarship discounts in the accompanying Statement of Revenues, Expenses, and Changes in Net Position. The scholarship discount is the difference between the actual charge for goods and services provided by the College and the amount that is paid by students or by third parties on the students’ behalf. Student financial assistance grants, such as Pell grants, and other federal, state, or nongovernmental programs, are recorded as nonoperating revenues in the accompanying Statement of Revenues, Expenses, and Changes in Net Position. To the extent that </w:t>
      </w:r>
      <w:r w:rsidRPr="00641103">
        <w:rPr>
          <w:rFonts w:ascii="Arial" w:eastAsia="Times New Roman" w:hAnsi="Arial" w:cs="Arial"/>
        </w:rPr>
        <w:lastRenderedPageBreak/>
        <w:t>revenues from these programs are used to satisfy tuition, fees, and other charges, the College has recorded a scholarship discount.</w:t>
      </w:r>
    </w:p>
    <w:p w14:paraId="14328333" w14:textId="77777777" w:rsidR="005558B6" w:rsidRPr="00641103" w:rsidRDefault="005558B6" w:rsidP="00DC73A5">
      <w:pPr>
        <w:spacing w:after="240" w:line="240" w:lineRule="auto"/>
        <w:ind w:left="360" w:hanging="360"/>
        <w:jc w:val="both"/>
        <w:rPr>
          <w:rFonts w:ascii="Arial" w:eastAsia="Times New Roman" w:hAnsi="Arial" w:cs="Arial"/>
          <w:bCs/>
        </w:rPr>
      </w:pPr>
      <w:r w:rsidRPr="005B66EC">
        <w:rPr>
          <w:rFonts w:ascii="Arial" w:eastAsia="Times New Roman" w:hAnsi="Arial" w:cs="Arial"/>
          <w:b/>
        </w:rPr>
        <w:t>P.</w:t>
      </w:r>
      <w:r w:rsidRPr="00641103">
        <w:rPr>
          <w:rFonts w:ascii="Arial" w:eastAsia="Times New Roman" w:hAnsi="Arial" w:cs="Arial"/>
          <w:b/>
        </w:rPr>
        <w:tab/>
        <w:t xml:space="preserve">Revenue and Expense Recognition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rPr>
        <w:t xml:space="preserve">The College classifies its revenues and expenses as operating or nonoperating in the accompanying Statement of Revenues, Expenses, and Changes in Net </w:t>
      </w:r>
      <w:r w:rsidRPr="00641103">
        <w:rPr>
          <w:rFonts w:ascii="Arial" w:eastAsia="Times New Roman" w:hAnsi="Arial" w:cs="Arial"/>
        </w:rPr>
        <w:t>Position</w:t>
      </w:r>
      <w:r w:rsidRPr="00641103">
        <w:rPr>
          <w:rFonts w:ascii="Arial" w:eastAsia="Times New Roman" w:hAnsi="Arial" w:cs="Arial"/>
          <w:bCs/>
        </w:rPr>
        <w:t xml:space="preserve">. </w:t>
      </w:r>
      <w:r w:rsidRPr="00641103">
        <w:rPr>
          <w:rFonts w:ascii="Arial" w:eastAsia="Times New Roman" w:hAnsi="Arial" w:cs="Arial"/>
        </w:rPr>
        <w:t xml:space="preserve">Operating revenues and expenses generally result from providing services and producing and delivering goods in connection with the College’s principal ongoing operations. </w:t>
      </w:r>
      <w:r w:rsidRPr="00641103">
        <w:rPr>
          <w:rFonts w:ascii="Arial" w:eastAsia="Times New Roman" w:hAnsi="Arial" w:cs="Arial"/>
          <w:bCs/>
        </w:rPr>
        <w:t xml:space="preserve">Operating revenues include activities that have characteristics of exchange transactions, such as (1) student tuition and fees, (2) sales and services of auxiliary enterprises, and (3) certain federal, state, and local grants and contracts. Operating expenses are all expense transactions incurred other than those related to capital and noncapital financing or investing activities as defined by GASB Statement No. 9, </w:t>
      </w:r>
      <w:r w:rsidRPr="00641103">
        <w:rPr>
          <w:rFonts w:ascii="Arial" w:eastAsia="Times New Roman" w:hAnsi="Arial" w:cs="Arial"/>
          <w:bCs/>
          <w:i/>
          <w:iCs/>
        </w:rPr>
        <w:t>Reporting Cash Flows of Proprietary and Nonexpendable Trust Funds and Governmental Entities That Use Proprietary Fund Accounting</w:t>
      </w:r>
      <w:r w:rsidRPr="00641103">
        <w:rPr>
          <w:rFonts w:ascii="Arial" w:eastAsia="Times New Roman" w:hAnsi="Arial" w:cs="Arial"/>
          <w:bCs/>
          <w:iCs/>
        </w:rPr>
        <w:t>.</w:t>
      </w:r>
    </w:p>
    <w:p w14:paraId="70DFF0CC" w14:textId="77777777" w:rsidR="005558B6" w:rsidRPr="00641103" w:rsidRDefault="005558B6" w:rsidP="00DC73A5">
      <w:pPr>
        <w:spacing w:after="240" w:line="240" w:lineRule="auto"/>
        <w:ind w:left="360"/>
        <w:jc w:val="both"/>
        <w:rPr>
          <w:rFonts w:ascii="Arial" w:eastAsia="Times New Roman" w:hAnsi="Arial" w:cs="Arial"/>
        </w:rPr>
      </w:pPr>
      <w:r w:rsidRPr="00641103">
        <w:rPr>
          <w:rFonts w:ascii="Arial" w:eastAsia="Times New Roman" w:hAnsi="Arial" w:cs="Arial"/>
        </w:rPr>
        <w:t>Nonoperating revenues include activities that have the characteristics of nonexchange transactions. Revenues from nonexchange transactions that represent subsidies or gifts to the College, as well as investment income, are considered nonoperating since these are either investing, capital, or noncapital financing activities. Capital contributions are presented separately after nonoperating revenues and expenses.</w:t>
      </w:r>
    </w:p>
    <w:p w14:paraId="5A25C7EE" w14:textId="77777777" w:rsidR="005558B6" w:rsidRPr="00641103" w:rsidRDefault="005558B6" w:rsidP="00DC73A5">
      <w:pPr>
        <w:spacing w:after="240" w:line="240" w:lineRule="auto"/>
        <w:ind w:left="360" w:hanging="360"/>
        <w:jc w:val="both"/>
        <w:rPr>
          <w:rFonts w:ascii="Arial" w:eastAsia="Times New Roman" w:hAnsi="Arial" w:cs="Arial"/>
        </w:rPr>
      </w:pPr>
      <w:bookmarkStart w:id="5" w:name="OLE_LINK4"/>
      <w:bookmarkStart w:id="6" w:name="OLE_LINK5"/>
      <w:r w:rsidRPr="005B66EC">
        <w:rPr>
          <w:rFonts w:ascii="Arial" w:eastAsia="Times New Roman" w:hAnsi="Arial" w:cs="Arial"/>
          <w:b/>
        </w:rPr>
        <w:t>Q.</w:t>
      </w:r>
      <w:r w:rsidRPr="00641103">
        <w:rPr>
          <w:rFonts w:ascii="Arial" w:eastAsia="Times New Roman" w:hAnsi="Arial" w:cs="Arial"/>
          <w:b/>
        </w:rPr>
        <w:tab/>
      </w:r>
      <w:bookmarkEnd w:id="5"/>
      <w:bookmarkEnd w:id="6"/>
      <w:r w:rsidRPr="00641103">
        <w:rPr>
          <w:rFonts w:ascii="Arial" w:eastAsia="Times New Roman" w:hAnsi="Arial" w:cs="Arial"/>
          <w:b/>
        </w:rPr>
        <w:t xml:space="preserve">Internal Sales Activities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rPr>
        <w:t xml:space="preserve">Certain institutional auxiliary operations provide goods and services to College departments, as well as to its customers. These institutional auxiliary operations include activities such as </w:t>
      </w:r>
      <w:r w:rsidRPr="00641103">
        <w:rPr>
          <w:rFonts w:ascii="Arial" w:eastAsia="Times New Roman" w:hAnsi="Arial" w:cs="Arial"/>
          <w:b/>
          <w:iCs/>
          <w:color w:val="0000FF"/>
        </w:rPr>
        <w:t xml:space="preserve">[central stores, copy centers, motor pool, postal services, telecommunications - </w:t>
      </w:r>
      <w:r w:rsidRPr="00641103">
        <w:rPr>
          <w:rFonts w:ascii="Arial" w:eastAsia="Times New Roman" w:hAnsi="Arial" w:cs="Arial"/>
          <w:b/>
          <w:i/>
          <w:iCs/>
          <w:color w:val="0000FF"/>
        </w:rPr>
        <w:t>Modify as necessary</w:t>
      </w:r>
      <w:r w:rsidRPr="00641103">
        <w:rPr>
          <w:rFonts w:ascii="Arial" w:eastAsia="Times New Roman" w:hAnsi="Arial" w:cs="Arial"/>
          <w:b/>
          <w:iCs/>
          <w:color w:val="0000FF"/>
        </w:rPr>
        <w:t>]</w:t>
      </w:r>
      <w:r w:rsidRPr="00641103">
        <w:rPr>
          <w:rFonts w:ascii="Arial" w:eastAsia="Times New Roman" w:hAnsi="Arial" w:cs="Arial"/>
          <w:iCs/>
          <w:color w:val="000000"/>
        </w:rPr>
        <w:t>.</w:t>
      </w:r>
      <w:r w:rsidRPr="00641103">
        <w:rPr>
          <w:rFonts w:ascii="Arial" w:eastAsia="Times New Roman" w:hAnsi="Arial" w:cs="Arial"/>
          <w:bCs/>
        </w:rPr>
        <w:t xml:space="preserve"> In addition, the College has other miscellaneous sales and service units that operated either on a reimbursement or charge basis. All internal sales activities to College departments from auxiliary operations and sales and service units have been eliminated in the accompanying financial statements. These eliminations are recorded by removing the revenue and expense in the auxiliary operations and sales and service units and, if significant, allocating any residual balances to those departments receiving the goods and services during the year.</w:t>
      </w:r>
    </w:p>
    <w:p w14:paraId="7673DF2F" w14:textId="77777777" w:rsidR="005558B6" w:rsidRPr="00641103" w:rsidRDefault="005558B6" w:rsidP="00DC73A5">
      <w:pPr>
        <w:spacing w:after="240" w:line="240" w:lineRule="auto"/>
        <w:ind w:left="360" w:hanging="360"/>
        <w:jc w:val="both"/>
        <w:rPr>
          <w:rFonts w:ascii="Arial" w:eastAsia="Times New Roman" w:hAnsi="Arial" w:cs="Arial"/>
          <w:b/>
          <w:i/>
          <w:color w:val="0000FF"/>
        </w:rPr>
      </w:pPr>
      <w:r w:rsidRPr="005B66EC">
        <w:rPr>
          <w:rFonts w:ascii="Arial" w:eastAsia="Times New Roman" w:hAnsi="Arial" w:cs="Arial"/>
          <w:b/>
        </w:rPr>
        <w:t>R.</w:t>
      </w:r>
      <w:r w:rsidRPr="00641103">
        <w:rPr>
          <w:rFonts w:ascii="Arial" w:eastAsia="Times New Roman" w:hAnsi="Arial" w:cs="Arial"/>
          <w:b/>
        </w:rPr>
        <w:tab/>
        <w:t xml:space="preserve">County Appropriations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County appropriations are provided to the College primarily to fund its plant operation and maintenance function and to fund construction projects, motor vehicle purchases, and maintenance of equipment. Unexpended county current appropriations and county capital appropriations do not revert and are available for future use </w:t>
      </w:r>
      <w:r w:rsidRPr="00641103">
        <w:rPr>
          <w:rFonts w:ascii="Arial" w:eastAsia="Times New Roman" w:hAnsi="Arial" w:cs="Arial"/>
          <w:i/>
          <w:color w:val="0000FF"/>
        </w:rPr>
        <w:t xml:space="preserve">[by the College </w:t>
      </w:r>
      <w:r w:rsidRPr="00641103">
        <w:rPr>
          <w:rFonts w:ascii="Arial" w:eastAsia="Times New Roman" w:hAnsi="Arial" w:cs="Arial"/>
          <w:b/>
          <w:i/>
          <w:color w:val="0000FF"/>
        </w:rPr>
        <w:t>or</w:t>
      </w:r>
      <w:r w:rsidRPr="00641103">
        <w:rPr>
          <w:rFonts w:ascii="Arial" w:eastAsia="Times New Roman" w:hAnsi="Arial" w:cs="Arial"/>
          <w:i/>
          <w:color w:val="0000FF"/>
        </w:rPr>
        <w:t xml:space="preserve"> as approved by the county commissioners]</w:t>
      </w:r>
      <w:r w:rsidRPr="00641103">
        <w:rPr>
          <w:rFonts w:ascii="Arial" w:eastAsia="Times New Roman" w:hAnsi="Arial" w:cs="Arial"/>
        </w:rPr>
        <w:t xml:space="preserve">. </w:t>
      </w:r>
      <w:r w:rsidRPr="00641103">
        <w:rPr>
          <w:rFonts w:ascii="Arial" w:eastAsia="Times New Roman" w:hAnsi="Arial" w:cs="Arial"/>
          <w:b/>
          <w:i/>
          <w:color w:val="0000FF"/>
        </w:rPr>
        <w:t>[Modify as necessary]</w:t>
      </w:r>
    </w:p>
    <w:p w14:paraId="5645F33A" w14:textId="77777777" w:rsidR="005558B6" w:rsidRPr="00A66832" w:rsidRDefault="005558B6" w:rsidP="005D46CC">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2</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 xml:space="preserve">Deposits and Investments </w:t>
      </w:r>
      <w:r w:rsidRPr="00A66832">
        <w:rPr>
          <w:rFonts w:ascii="Arial" w:eastAsia="Times New Roman" w:hAnsi="Arial" w:cs="Arial"/>
          <w:b/>
          <w:color w:val="0000FF"/>
        </w:rPr>
        <w:t>[For use by Colleges when All their investments are in STIF]</w:t>
      </w:r>
    </w:p>
    <w:p w14:paraId="5490DA4D" w14:textId="77777777" w:rsidR="005558B6" w:rsidRPr="00641103" w:rsidRDefault="005558B6" w:rsidP="00A66832">
      <w:pPr>
        <w:spacing w:after="240" w:line="240" w:lineRule="auto"/>
        <w:jc w:val="both"/>
        <w:rPr>
          <w:rFonts w:ascii="Arial" w:eastAsia="Times New Roman" w:hAnsi="Arial" w:cs="Arial"/>
        </w:rPr>
      </w:pPr>
      <w:r w:rsidRPr="00AE2160">
        <w:rPr>
          <w:rFonts w:ascii="Arial" w:eastAsia="Times New Roman" w:hAnsi="Arial" w:cs="Arial"/>
          <w:b/>
        </w:rPr>
        <w:t xml:space="preserve">College </w:t>
      </w:r>
      <w:r w:rsidRPr="00325729">
        <w:rPr>
          <w:rFonts w:ascii="Arial" w:eastAsia="Times New Roman" w:hAnsi="Arial" w:cs="Arial"/>
        </w:rPr>
        <w:t>-</w:t>
      </w:r>
      <w:r w:rsidRPr="00AE2160">
        <w:rPr>
          <w:rFonts w:ascii="Arial" w:eastAsia="Times New Roman" w:hAnsi="Arial" w:cs="Arial"/>
          <w:i/>
        </w:rPr>
        <w:t xml:space="preserve"> </w:t>
      </w:r>
      <w:r w:rsidRPr="00AE2160">
        <w:rPr>
          <w:rFonts w:ascii="Arial" w:eastAsia="Times New Roman" w:hAnsi="Arial" w:cs="Arial"/>
        </w:rPr>
        <w:t>The College</w:t>
      </w:r>
      <w:r w:rsidRPr="00641103">
        <w:rPr>
          <w:rFonts w:ascii="Arial" w:eastAsia="Times New Roman" w:hAnsi="Arial" w:cs="Arial"/>
        </w:rPr>
        <w:t xml:space="preserve"> is required by </w:t>
      </w:r>
      <w:r w:rsidRPr="00A66832">
        <w:rPr>
          <w:rFonts w:ascii="Arial" w:eastAsia="Times New Roman" w:hAnsi="Arial" w:cs="Arial"/>
        </w:rPr>
        <w:t>North Carolina General Statute</w:t>
      </w:r>
      <w:r w:rsidRPr="00D21499">
        <w:rPr>
          <w:rFonts w:ascii="Arial" w:eastAsia="Times New Roman" w:hAnsi="Arial" w:cs="Arial"/>
          <w:i/>
        </w:rPr>
        <w:t> </w:t>
      </w:r>
      <w:r w:rsidRPr="00DE4483">
        <w:rPr>
          <w:rFonts w:ascii="Arial" w:eastAsia="Times New Roman" w:hAnsi="Arial" w:cs="Arial"/>
        </w:rPr>
        <w:t>147</w:t>
      </w:r>
      <w:r w:rsidRPr="00DE4483">
        <w:rPr>
          <w:rFonts w:ascii="Arial" w:eastAsia="Times New Roman" w:hAnsi="Arial" w:cs="Arial"/>
        </w:rPr>
        <w:noBreakHyphen/>
        <w:t>77</w:t>
      </w:r>
      <w:r w:rsidRPr="00641103">
        <w:rPr>
          <w:rFonts w:ascii="Arial" w:eastAsia="Times New Roman" w:hAnsi="Arial" w:cs="Arial"/>
        </w:rPr>
        <w:t xml:space="preserve"> to deposit any funds collected or received that belong to the State of North Carolina with the State Treasurer or with a depository institution in the name of the State Treasurer. All funds of the College, other than those required to be deposited with the State Treasurer, are deposited in board-designated official depositories and are required to be collateralized in accordance with </w:t>
      </w:r>
      <w:r w:rsidRPr="00A66832">
        <w:rPr>
          <w:rFonts w:ascii="Arial" w:eastAsia="Times New Roman" w:hAnsi="Arial" w:cs="Arial"/>
        </w:rPr>
        <w:t>North Carolina General Statute</w:t>
      </w:r>
      <w:r w:rsidRPr="00641103">
        <w:rPr>
          <w:rFonts w:ascii="Arial" w:eastAsia="Times New Roman" w:hAnsi="Arial" w:cs="Arial"/>
          <w:i/>
        </w:rPr>
        <w:t xml:space="preserve"> </w:t>
      </w:r>
      <w:r w:rsidRPr="00DE4483">
        <w:rPr>
          <w:rFonts w:ascii="Arial" w:eastAsia="Times New Roman" w:hAnsi="Arial" w:cs="Arial"/>
        </w:rPr>
        <w:t>115D-58.7</w:t>
      </w:r>
      <w:r w:rsidRPr="00641103">
        <w:rPr>
          <w:rFonts w:ascii="Arial" w:eastAsia="Times New Roman" w:hAnsi="Arial" w:cs="Arial"/>
        </w:rPr>
        <w:t xml:space="preserve">. Official depositories may be established with any bank, savings and loan association, or trust company whose principal office is located in North Carolina. Also, the College may establish time deposit accounts, money market accounts, and certificates of deposit. The amount shown on the Statement of Net Position as cash and cash </w:t>
      </w:r>
      <w:r w:rsidRPr="00641103">
        <w:rPr>
          <w:rFonts w:ascii="Arial" w:eastAsia="Times New Roman" w:hAnsi="Arial" w:cs="Arial"/>
        </w:rPr>
        <w:lastRenderedPageBreak/>
        <w:t>equivalents includes cash on hand totaling $_________, and deposits in private financial institutions with a carrying value of $_________ and a bank balance of $_________.</w:t>
      </w:r>
    </w:p>
    <w:p w14:paraId="54139AD5" w14:textId="77777777" w:rsidR="005558B6" w:rsidRPr="00641103" w:rsidRDefault="005558B6" w:rsidP="00A66832">
      <w:pPr>
        <w:spacing w:after="240" w:line="240" w:lineRule="auto"/>
        <w:jc w:val="both"/>
        <w:rPr>
          <w:rFonts w:ascii="Arial" w:eastAsia="Times New Roman" w:hAnsi="Arial" w:cs="Arial"/>
        </w:rPr>
      </w:pPr>
      <w:r w:rsidRPr="00641103">
        <w:rPr>
          <w:rFonts w:ascii="Arial" w:eastAsia="Times New Roman" w:hAnsi="Arial" w:cs="Arial"/>
        </w:rPr>
        <w:t>The North Carolina Administrative Code (20 NCAC 7) requires all depositories to collateralize public deposits in excess of federal depository insurance coverage by using one of two methods, dedicated or pooled. Under the dedicated method, a separate escrow account is established by each depository in the name of each local governmental unit and the responsibility of monitoring collateralization rests with the local unit. Under the pooling method, each depository establishes an escrow account in the name of the State Treasurer to secure all of its public deposits. This method shifts the monitoring responsibility from the local unit to the State Treasurer.</w:t>
      </w:r>
    </w:p>
    <w:p w14:paraId="0F27B593" w14:textId="77777777" w:rsidR="005558B6" w:rsidRPr="00641103" w:rsidRDefault="005558B6" w:rsidP="00A66832">
      <w:pPr>
        <w:spacing w:after="240" w:line="240" w:lineRule="auto"/>
        <w:jc w:val="both"/>
        <w:rPr>
          <w:rFonts w:ascii="Arial" w:eastAsia="Times New Roman" w:hAnsi="Arial" w:cs="Arial"/>
        </w:rPr>
      </w:pPr>
      <w:r w:rsidRPr="00641103">
        <w:rPr>
          <w:rFonts w:ascii="Arial" w:eastAsia="Times New Roman" w:hAnsi="Arial" w:cs="Arial"/>
        </w:rPr>
        <w:t xml:space="preserve">Custodial credit risk is the risk that in the event of a bank failure, the College’s deposits may not be returned to it. As of June 30, </w:t>
      </w:r>
      <w:r>
        <w:rPr>
          <w:rFonts w:ascii="Arial" w:eastAsia="Times New Roman" w:hAnsi="Arial" w:cs="Arial"/>
        </w:rPr>
        <w:t>2022</w:t>
      </w:r>
      <w:r w:rsidRPr="00641103">
        <w:rPr>
          <w:rFonts w:ascii="Arial" w:eastAsia="Times New Roman" w:hAnsi="Arial" w:cs="Arial"/>
        </w:rPr>
        <w:t xml:space="preserve">, the College’s bank balance in excess of federal depository insurance coverage was covered under </w:t>
      </w:r>
      <w:r w:rsidRPr="00641103">
        <w:rPr>
          <w:rFonts w:ascii="Arial" w:eastAsia="Times New Roman" w:hAnsi="Arial" w:cs="Arial"/>
          <w:b/>
          <w:i/>
          <w:color w:val="0000FF"/>
        </w:rPr>
        <w:t xml:space="preserve">choose one </w:t>
      </w:r>
      <w:r w:rsidRPr="00641103">
        <w:rPr>
          <w:rFonts w:ascii="Arial" w:eastAsia="Times New Roman" w:hAnsi="Arial" w:cs="Arial"/>
        </w:rPr>
        <w:t xml:space="preserve">the </w:t>
      </w:r>
      <w:r w:rsidRPr="00641103">
        <w:rPr>
          <w:rFonts w:ascii="Arial" w:eastAsia="Times New Roman" w:hAnsi="Arial" w:cs="Arial"/>
          <w:b/>
          <w:i/>
          <w:color w:val="0000FF"/>
        </w:rPr>
        <w:t xml:space="preserve">pooling/dedicated </w:t>
      </w:r>
      <w:r w:rsidRPr="00641103">
        <w:rPr>
          <w:rFonts w:ascii="Arial" w:eastAsia="Times New Roman" w:hAnsi="Arial" w:cs="Arial"/>
        </w:rPr>
        <w:t>method.</w:t>
      </w:r>
    </w:p>
    <w:p w14:paraId="016D73DD" w14:textId="77777777" w:rsidR="005558B6" w:rsidRPr="00641103" w:rsidRDefault="005558B6" w:rsidP="00A66832">
      <w:pPr>
        <w:spacing w:after="240" w:line="240" w:lineRule="auto"/>
        <w:jc w:val="both"/>
        <w:rPr>
          <w:rFonts w:ascii="Arial" w:eastAsia="Times New Roman" w:hAnsi="Arial" w:cs="Arial"/>
        </w:rPr>
      </w:pPr>
      <w:r w:rsidRPr="00641103">
        <w:rPr>
          <w:rFonts w:ascii="Arial" w:eastAsia="Times New Roman" w:hAnsi="Arial" w:cs="Arial"/>
        </w:rPr>
        <w:t>The College is authorized to invest idle funds as provided by G.S. 115D-58.6. In accordance with this statute, the College and the Board of Trustees manage investments to ensure they can be converted into cash when needed.</w:t>
      </w:r>
    </w:p>
    <w:p w14:paraId="5F02A63F" w14:textId="77777777" w:rsidR="005558B6" w:rsidRPr="00641103" w:rsidRDefault="005558B6" w:rsidP="00A66832">
      <w:pPr>
        <w:spacing w:after="240" w:line="240" w:lineRule="auto"/>
        <w:jc w:val="both"/>
        <w:rPr>
          <w:rFonts w:ascii="Arial" w:eastAsia="Times New Roman" w:hAnsi="Arial" w:cs="Arial"/>
        </w:rPr>
      </w:pPr>
      <w:r w:rsidRPr="00641103">
        <w:rPr>
          <w:rFonts w:ascii="Arial" w:eastAsia="Times New Roman" w:hAnsi="Arial" w:cs="Arial"/>
        </w:rPr>
        <w:t xml:space="preserve">Generally, funds belonging to the College may be invested in any form of investment established or managed by certain investment advisors pursuant to G.S. 115D-58.6(d1) or in the form of investments pursuant to G.S. 159-30(c), as follows: a commingled investment pool established and administered by the State Treasurer pursuant to G.S. 147-69.3 (STIF); obligations of or fully guaranteed by the United States; obligations of the State of North Carolina; bonds and notes of any North Carolina local government or public authority; obligations of certain nonguaranteed federal agencies; prime quality commercial paper bearing specified </w:t>
      </w:r>
      <w:r w:rsidRPr="00641103">
        <w:rPr>
          <w:rFonts w:ascii="Arial" w:eastAsia="Times New Roman" w:hAnsi="Arial" w:cs="Arial"/>
          <w:color w:val="000000"/>
        </w:rPr>
        <w:t>ratings</w:t>
      </w:r>
      <w:bookmarkStart w:id="7" w:name="GS159"/>
      <w:r w:rsidRPr="00641103">
        <w:rPr>
          <w:rFonts w:ascii="Arial" w:eastAsia="Times New Roman" w:hAnsi="Arial" w:cs="Arial"/>
          <w:color w:val="000000"/>
        </w:rPr>
        <w:t>; specified bills of exchange; certain savings certificates;</w:t>
      </w:r>
      <w:bookmarkEnd w:id="7"/>
      <w:r w:rsidRPr="00641103">
        <w:rPr>
          <w:rFonts w:ascii="Arial" w:eastAsia="Times New Roman" w:hAnsi="Arial" w:cs="Arial"/>
          <w:color w:val="000000"/>
        </w:rPr>
        <w:t xml:space="preserve"> The North Carolina</w:t>
      </w:r>
      <w:r w:rsidRPr="00641103">
        <w:rPr>
          <w:rFonts w:ascii="Arial" w:eastAsia="Times New Roman" w:hAnsi="Arial" w:cs="Arial"/>
        </w:rPr>
        <w:t xml:space="preserve"> Capital Management Trust, an SEC registered mutual fund; repurchase agreements; and evidences of ownership of, or fractional undivided interests in, future interest and principal payments on either direct obligations of or fully guaranteed by the United States government, which are held by a specified bank or trust company or any state in the capacity of custodian.</w:t>
      </w:r>
    </w:p>
    <w:p w14:paraId="03B0AB3D" w14:textId="4D72B110" w:rsidR="005558B6" w:rsidRDefault="005558B6" w:rsidP="00A66832">
      <w:pPr>
        <w:tabs>
          <w:tab w:val="left" w:pos="1350"/>
        </w:tabs>
        <w:spacing w:after="240" w:line="240" w:lineRule="auto"/>
        <w:jc w:val="both"/>
        <w:rPr>
          <w:rFonts w:ascii="Arial" w:eastAsia="Times New Roman" w:hAnsi="Arial" w:cs="Arial"/>
          <w:b/>
          <w:i/>
          <w:color w:val="0000FF"/>
        </w:rPr>
      </w:pPr>
      <w:r w:rsidRPr="00641103">
        <w:rPr>
          <w:rFonts w:ascii="Arial" w:eastAsia="Times New Roman" w:hAnsi="Arial" w:cs="Arial"/>
        </w:rPr>
        <w:t xml:space="preserve">At June 30, </w:t>
      </w:r>
      <w:r>
        <w:rPr>
          <w:rFonts w:ascii="Arial" w:eastAsia="Times New Roman" w:hAnsi="Arial" w:cs="Arial"/>
        </w:rPr>
        <w:t>2022</w:t>
      </w:r>
      <w:r w:rsidRPr="00641103">
        <w:rPr>
          <w:rFonts w:ascii="Arial" w:eastAsia="Times New Roman" w:hAnsi="Arial" w:cs="Arial"/>
        </w:rPr>
        <w:t>, the amount shown on the Statement of Net Position as cash and cash equivalents includes $__________, which represents the College’s equity position in the State Treasurer’s Short</w:t>
      </w:r>
      <w:r w:rsidRPr="00641103">
        <w:rPr>
          <w:rFonts w:ascii="Arial" w:eastAsia="Times New Roman" w:hAnsi="Arial" w:cs="Arial"/>
        </w:rPr>
        <w:noBreakHyphen/>
        <w:t xml:space="preserve">Term Investment Fund (STIF). The STIF (a portfolio within the State Treasurer’s Investment Pool, an external investment pool that is not registered with the Securities and Exchange Commission or subject to any other regulatory oversight and does not have a credit rating) had a weighted average maturity of </w:t>
      </w:r>
      <w:r w:rsidR="00156AD2" w:rsidRPr="005D6187">
        <w:rPr>
          <w:rFonts w:ascii="Arial" w:eastAsia="Times New Roman" w:hAnsi="Arial" w:cs="Arial"/>
          <w:highlight w:val="green"/>
        </w:rPr>
        <w:t>0</w:t>
      </w:r>
      <w:r w:rsidRPr="005D6187">
        <w:rPr>
          <w:rFonts w:ascii="Arial" w:eastAsia="Times New Roman" w:hAnsi="Arial" w:cs="Arial"/>
          <w:highlight w:val="green"/>
        </w:rPr>
        <w:t>.</w:t>
      </w:r>
      <w:r w:rsidR="00156AD2" w:rsidRPr="005D6187">
        <w:rPr>
          <w:rFonts w:ascii="Arial" w:eastAsia="Times New Roman" w:hAnsi="Arial" w:cs="Arial"/>
          <w:highlight w:val="green"/>
        </w:rPr>
        <w:t>9</w:t>
      </w:r>
      <w:r w:rsidRPr="00641103">
        <w:rPr>
          <w:rFonts w:ascii="Arial" w:eastAsia="Times New Roman" w:hAnsi="Arial" w:cs="Arial"/>
        </w:rPr>
        <w:t xml:space="preserve"> years as of June 30, </w:t>
      </w:r>
      <w:r>
        <w:rPr>
          <w:rFonts w:ascii="Arial" w:eastAsia="Times New Roman" w:hAnsi="Arial" w:cs="Arial"/>
        </w:rPr>
        <w:t>2022</w:t>
      </w:r>
      <w:r w:rsidRPr="00641103">
        <w:rPr>
          <w:rFonts w:ascii="Arial" w:eastAsia="Times New Roman" w:hAnsi="Arial" w:cs="Arial"/>
        </w:rPr>
        <w:t>. Assets and shares of the STIF are valued at fair value. Deposit and investment risks associated with the State Treasurer’s Investment Pool (which includes the State Treasurer’s STIF) are included in the</w:t>
      </w:r>
      <w:r w:rsidRPr="00641103">
        <w:rPr>
          <w:rFonts w:ascii="Arial" w:eastAsia="Times New Roman" w:hAnsi="Arial" w:cs="Arial"/>
          <w:i/>
        </w:rPr>
        <w:t xml:space="preserve"> </w:t>
      </w:r>
      <w:r w:rsidRPr="00641103">
        <w:rPr>
          <w:rFonts w:ascii="Arial" w:eastAsia="Times New Roman" w:hAnsi="Arial" w:cs="Arial"/>
        </w:rPr>
        <w:t xml:space="preserve">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w:t>
      </w:r>
      <w:hyperlink r:id="rId13" w:history="1">
        <w:r w:rsidRPr="00817308">
          <w:rPr>
            <w:rStyle w:val="Hyperlink"/>
            <w:rFonts w:ascii="Arial" w:eastAsia="Times New Roman" w:hAnsi="Arial" w:cs="Arial"/>
          </w:rPr>
          <w:t>https://www.nctreasurer.com/</w:t>
        </w:r>
      </w:hyperlink>
      <w:r w:rsidRPr="00641103">
        <w:rPr>
          <w:rFonts w:ascii="Arial" w:eastAsia="Times New Roman" w:hAnsi="Arial" w:cs="Arial"/>
        </w:rPr>
        <w:t xml:space="preserve"> in the Audited Financial Statements section.</w:t>
      </w:r>
    </w:p>
    <w:p w14:paraId="2BA5F4C4" w14:textId="77777777" w:rsidR="005558B6" w:rsidRDefault="005558B6" w:rsidP="00A66832">
      <w:pPr>
        <w:tabs>
          <w:tab w:val="left" w:pos="1350"/>
        </w:tabs>
        <w:spacing w:after="240" w:line="240" w:lineRule="auto"/>
        <w:jc w:val="both"/>
        <w:rPr>
          <w:rFonts w:ascii="Arial" w:eastAsia="Times New Roman" w:hAnsi="Arial" w:cs="Arial"/>
          <w:b/>
          <w:i/>
          <w:color w:val="0000FF"/>
        </w:rPr>
      </w:pPr>
      <w:r w:rsidRPr="00641103">
        <w:rPr>
          <w:rFonts w:ascii="Arial" w:eastAsia="Times New Roman" w:hAnsi="Arial" w:cs="Arial"/>
          <w:b/>
          <w:i/>
          <w:color w:val="0000FF"/>
        </w:rPr>
        <w:t xml:space="preserve">[Instructions to preparer, STIF balances applicable to component units within the reporting entity should be reported in the component unit statement of net position. The STIF amount reported on the college statement of net position and in this note will be </w:t>
      </w:r>
      <w:r w:rsidRPr="00641103">
        <w:rPr>
          <w:rFonts w:ascii="Arial" w:eastAsia="Times New Roman" w:hAnsi="Arial" w:cs="Arial"/>
          <w:b/>
          <w:i/>
          <w:color w:val="0000FF"/>
        </w:rPr>
        <w:lastRenderedPageBreak/>
        <w:t>the STIF balance for the college and any component units not included in the college report.]</w:t>
      </w:r>
    </w:p>
    <w:p w14:paraId="18ABC01F" w14:textId="77777777" w:rsidR="005558B6" w:rsidRPr="00503712" w:rsidRDefault="005558B6" w:rsidP="00A66832">
      <w:pPr>
        <w:spacing w:after="240"/>
        <w:jc w:val="both"/>
        <w:rPr>
          <w:rFonts w:ascii="Arial" w:hAnsi="Arial" w:cs="Arial"/>
          <w:b/>
        </w:rPr>
      </w:pPr>
      <w:r w:rsidRPr="00AE2160">
        <w:rPr>
          <w:rFonts w:ascii="Arial" w:hAnsi="Arial" w:cs="Arial"/>
          <w:b/>
        </w:rPr>
        <w:t xml:space="preserve">Component Unit(s) </w:t>
      </w:r>
      <w:r w:rsidRPr="00325729">
        <w:rPr>
          <w:rFonts w:ascii="Arial" w:hAnsi="Arial" w:cs="Arial"/>
        </w:rPr>
        <w:t>-</w:t>
      </w:r>
      <w:r w:rsidRPr="00AE2160">
        <w:rPr>
          <w:rFonts w:ascii="Arial" w:hAnsi="Arial" w:cs="Arial"/>
          <w:b/>
        </w:rPr>
        <w:t xml:space="preserve"> </w:t>
      </w:r>
      <w:r w:rsidRPr="00AE2160">
        <w:rPr>
          <w:rFonts w:ascii="Arial" w:hAnsi="Arial" w:cs="Arial"/>
          <w:b/>
          <w:i/>
          <w:color w:val="0000FF"/>
        </w:rPr>
        <w:t>[Note to preparer: When all of the College’s investments are in the STIF, disclose component unit investments here.]</w:t>
      </w:r>
      <w:r w:rsidRPr="00503712">
        <w:rPr>
          <w:rFonts w:ascii="Arial" w:hAnsi="Arial" w:cs="Arial"/>
          <w:b/>
          <w:i/>
          <w:color w:val="0000FF"/>
        </w:rPr>
        <w:t xml:space="preserve"> </w:t>
      </w:r>
    </w:p>
    <w:p w14:paraId="0FF63297" w14:textId="77777777" w:rsidR="005558B6" w:rsidRPr="00641103" w:rsidRDefault="005558B6" w:rsidP="00A66832">
      <w:pPr>
        <w:tabs>
          <w:tab w:val="left" w:pos="1080"/>
        </w:tabs>
        <w:spacing w:after="240" w:line="240" w:lineRule="auto"/>
        <w:jc w:val="center"/>
        <w:rPr>
          <w:rFonts w:ascii="Arial" w:eastAsia="Times New Roman" w:hAnsi="Arial" w:cs="Arial"/>
          <w:b/>
          <w:i/>
          <w:smallCaps/>
          <w:color w:val="0000FF"/>
        </w:rPr>
      </w:pPr>
      <w:r w:rsidRPr="00641103">
        <w:rPr>
          <w:rFonts w:ascii="Arial" w:eastAsia="Times New Roman" w:hAnsi="Arial" w:cs="Arial"/>
          <w:b/>
          <w:i/>
          <w:smallCaps/>
          <w:color w:val="0000FF"/>
        </w:rPr>
        <w:t>OR</w:t>
      </w:r>
    </w:p>
    <w:p w14:paraId="72FF8FB6" w14:textId="77777777" w:rsidR="005558B6" w:rsidRPr="00A66832" w:rsidRDefault="005558B6" w:rsidP="005D46CC">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2</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 xml:space="preserve">Deposits and Investments </w:t>
      </w:r>
      <w:r w:rsidRPr="00A66832">
        <w:rPr>
          <w:rFonts w:ascii="Arial" w:eastAsia="Times New Roman" w:hAnsi="Arial" w:cs="Arial"/>
          <w:b/>
          <w:color w:val="0000FF"/>
        </w:rPr>
        <w:t>[For use by Colleges who have their Investments</w:t>
      </w:r>
      <w:bookmarkStart w:id="8" w:name="NoteToPreparer"/>
      <w:r w:rsidRPr="00A66832">
        <w:rPr>
          <w:rFonts w:ascii="Arial" w:eastAsia="Times New Roman" w:hAnsi="Arial" w:cs="Arial"/>
          <w:b/>
          <w:color w:val="0000FF"/>
        </w:rPr>
        <w:t xml:space="preserve"> either entirely or</w:t>
      </w:r>
      <w:bookmarkEnd w:id="8"/>
      <w:r w:rsidRPr="00A66832">
        <w:rPr>
          <w:rFonts w:ascii="Arial" w:eastAsia="Times New Roman" w:hAnsi="Arial" w:cs="Arial"/>
          <w:b/>
          <w:color w:val="0000FF"/>
        </w:rPr>
        <w:t xml:space="preserve"> partially outside STIF]</w:t>
      </w:r>
    </w:p>
    <w:p w14:paraId="5139368C" w14:textId="77777777" w:rsidR="005558B6" w:rsidRPr="00641103" w:rsidRDefault="005558B6" w:rsidP="00A66832">
      <w:pPr>
        <w:numPr>
          <w:ilvl w:val="0"/>
          <w:numId w:val="28"/>
        </w:numPr>
        <w:spacing w:after="240" w:line="240" w:lineRule="auto"/>
        <w:ind w:left="360"/>
        <w:jc w:val="both"/>
        <w:rPr>
          <w:rFonts w:ascii="Arial" w:eastAsia="Times New Roman" w:hAnsi="Arial" w:cs="Arial"/>
          <w:color w:val="000000"/>
        </w:rPr>
      </w:pPr>
      <w:r w:rsidRPr="00641103">
        <w:rPr>
          <w:rFonts w:ascii="Arial" w:eastAsia="Times New Roman" w:hAnsi="Arial" w:cs="Arial"/>
          <w:b/>
        </w:rPr>
        <w:t>Deposits</w:t>
      </w:r>
      <w:r w:rsidRPr="00641103">
        <w:rPr>
          <w:rFonts w:ascii="Arial" w:eastAsia="Times New Roman" w:hAnsi="Arial" w:cs="Arial"/>
        </w:rPr>
        <w:t xml:space="preserve"> - The College is required by </w:t>
      </w:r>
      <w:r w:rsidRPr="00A66832">
        <w:rPr>
          <w:rFonts w:ascii="Arial" w:eastAsia="Times New Roman" w:hAnsi="Arial" w:cs="Arial"/>
        </w:rPr>
        <w:t>North Carolina General Statute</w:t>
      </w:r>
      <w:r w:rsidRPr="00641103">
        <w:rPr>
          <w:rFonts w:ascii="Arial" w:eastAsia="Times New Roman" w:hAnsi="Arial" w:cs="Arial"/>
        </w:rPr>
        <w:t> </w:t>
      </w:r>
      <w:r w:rsidRPr="00DE4483">
        <w:rPr>
          <w:rFonts w:ascii="Arial" w:eastAsia="Times New Roman" w:hAnsi="Arial" w:cs="Arial"/>
        </w:rPr>
        <w:t>147</w:t>
      </w:r>
      <w:r w:rsidRPr="00DE4483">
        <w:rPr>
          <w:rFonts w:ascii="Arial" w:eastAsia="Times New Roman" w:hAnsi="Arial" w:cs="Arial"/>
        </w:rPr>
        <w:noBreakHyphen/>
        <w:t>77</w:t>
      </w:r>
      <w:r w:rsidRPr="00641103">
        <w:rPr>
          <w:rFonts w:ascii="Arial" w:eastAsia="Times New Roman" w:hAnsi="Arial" w:cs="Arial"/>
        </w:rPr>
        <w:t xml:space="preserve"> to deposit any funds collected or received that belong to the State of North Carolina with the State Treasurer or with a depository institution in the name of the State Treasurer. All funds of the College, other than those required to be deposited with the State Treasurer, are deposited in board-designated official depositories and are required to be collateralized in accordance with </w:t>
      </w:r>
      <w:r w:rsidRPr="00A66832">
        <w:rPr>
          <w:rFonts w:ascii="Arial" w:eastAsia="Times New Roman" w:hAnsi="Arial" w:cs="Arial"/>
        </w:rPr>
        <w:t>North Carolina General Statute</w:t>
      </w:r>
      <w:r w:rsidRPr="007F2AE9">
        <w:rPr>
          <w:rFonts w:ascii="Arial" w:eastAsia="Times New Roman" w:hAnsi="Arial" w:cs="Arial"/>
          <w:i/>
        </w:rPr>
        <w:t xml:space="preserve"> </w:t>
      </w:r>
      <w:r w:rsidRPr="00DE4483">
        <w:rPr>
          <w:rFonts w:ascii="Arial" w:eastAsia="Times New Roman" w:hAnsi="Arial" w:cs="Arial"/>
        </w:rPr>
        <w:t>115D-58.7</w:t>
      </w:r>
      <w:r w:rsidRPr="00641103">
        <w:rPr>
          <w:rFonts w:ascii="Arial" w:eastAsia="Times New Roman" w:hAnsi="Arial" w:cs="Arial"/>
        </w:rPr>
        <w:t>. Official depositories may be established with any bank, savings and loan association, or trust company whose principal office is located in North Carolina. Also, the College may establish time deposit accounts, money market accounts, and certificates of deposit.</w:t>
      </w:r>
      <w:bookmarkStart w:id="9" w:name="CashBalanceChange"/>
      <w:r w:rsidRPr="00641103">
        <w:rPr>
          <w:rFonts w:ascii="Arial" w:eastAsia="Times New Roman" w:hAnsi="Arial" w:cs="Arial"/>
        </w:rPr>
        <w:t xml:space="preserve"> </w:t>
      </w:r>
      <w:r w:rsidRPr="00641103">
        <w:rPr>
          <w:rFonts w:ascii="Arial" w:eastAsia="Times New Roman" w:hAnsi="Arial" w:cs="Arial"/>
          <w:color w:val="000000"/>
        </w:rPr>
        <w:t xml:space="preserve">Cash on hand at June 30, </w:t>
      </w:r>
      <w:r>
        <w:rPr>
          <w:rFonts w:ascii="Arial" w:eastAsia="Times New Roman" w:hAnsi="Arial" w:cs="Arial"/>
          <w:color w:val="000000"/>
        </w:rPr>
        <w:t>2022</w:t>
      </w:r>
      <w:r w:rsidRPr="00641103">
        <w:rPr>
          <w:rFonts w:ascii="Arial" w:eastAsia="Times New Roman" w:hAnsi="Arial" w:cs="Arial"/>
          <w:color w:val="000000"/>
        </w:rPr>
        <w:t xml:space="preserve"> was $_________. The carrying amount of the College’s deposits not with the State Treasurer, including certificates of deposit</w:t>
      </w:r>
      <w:r w:rsidRPr="00641103">
        <w:rPr>
          <w:rFonts w:ascii="Arial" w:hAnsi="Arial" w:cs="Arial"/>
          <w:color w:val="000000"/>
        </w:rPr>
        <w:t xml:space="preserve"> of $________ reported as investments on the Statement of Net Position</w:t>
      </w:r>
      <w:r w:rsidRPr="00641103">
        <w:rPr>
          <w:rFonts w:ascii="Arial" w:eastAsia="Times New Roman" w:hAnsi="Arial" w:cs="Arial"/>
          <w:color w:val="000000"/>
        </w:rPr>
        <w:t>, was $_________, and the bank balance was $_________.</w:t>
      </w:r>
      <w:bookmarkEnd w:id="9"/>
    </w:p>
    <w:p w14:paraId="1AEE7566" w14:textId="77777777" w:rsidR="005558B6" w:rsidRPr="00641103" w:rsidRDefault="005558B6" w:rsidP="00A66832">
      <w:pPr>
        <w:spacing w:after="240" w:line="240" w:lineRule="auto"/>
        <w:ind w:left="360"/>
        <w:jc w:val="both"/>
        <w:rPr>
          <w:rFonts w:ascii="Arial" w:eastAsia="Times New Roman" w:hAnsi="Arial" w:cs="Arial"/>
        </w:rPr>
      </w:pPr>
      <w:r w:rsidRPr="00641103">
        <w:rPr>
          <w:rFonts w:ascii="Arial" w:eastAsia="Times New Roman" w:hAnsi="Arial" w:cs="Arial"/>
        </w:rPr>
        <w:t>The North Carolina Administrative Code (20 NCAC 7) requires all depositories to collateralize public deposits in excess of federal depository insurance coverage by using one of two methods, dedicated or pooled. Under the dedicated method, a separate escrow account is established by each depository in the name of each local governmental unit and the responsibility of monitoring collateralization rests with the local unit. Under the pooling method, each depository establishes an escrow account in the name of the State Treasurer to secure all of its public deposits. This method shifts the monitoring responsibility from the local unit to the State Treasurer.</w:t>
      </w:r>
    </w:p>
    <w:p w14:paraId="491A8A0B" w14:textId="77777777" w:rsidR="005558B6" w:rsidRDefault="005558B6" w:rsidP="00A66832">
      <w:pPr>
        <w:spacing w:after="240" w:line="240" w:lineRule="auto"/>
        <w:ind w:left="360"/>
        <w:jc w:val="both"/>
        <w:rPr>
          <w:rFonts w:ascii="Arial" w:eastAsia="Times New Roman" w:hAnsi="Arial" w:cs="Arial"/>
          <w:b/>
          <w:i/>
          <w:color w:val="0000FF"/>
        </w:rPr>
      </w:pPr>
      <w:r w:rsidRPr="00641103">
        <w:rPr>
          <w:rFonts w:ascii="Arial" w:eastAsia="Times New Roman" w:hAnsi="Arial" w:cs="Arial"/>
        </w:rPr>
        <w:t xml:space="preserve">Custodial credit risk is the risk that in the event of a bank failure, the College’s deposits may not be returned to it. As of June 30, </w:t>
      </w:r>
      <w:r>
        <w:rPr>
          <w:rFonts w:ascii="Arial" w:eastAsia="Times New Roman" w:hAnsi="Arial" w:cs="Arial"/>
        </w:rPr>
        <w:t>2022</w:t>
      </w:r>
      <w:r w:rsidRPr="00641103">
        <w:rPr>
          <w:rFonts w:ascii="Arial" w:eastAsia="Times New Roman" w:hAnsi="Arial" w:cs="Arial"/>
        </w:rPr>
        <w:t>, the College’s bank balance in excess of federal depository insurance coverage</w:t>
      </w:r>
      <w:r w:rsidRPr="005A31CF">
        <w:rPr>
          <w:rFonts w:ascii="Arial" w:eastAsia="Times New Roman" w:hAnsi="Arial" w:cs="Arial"/>
        </w:rPr>
        <w:t xml:space="preserve"> was covered under </w:t>
      </w:r>
      <w:r w:rsidRPr="005A31CF">
        <w:rPr>
          <w:rFonts w:ascii="Arial" w:eastAsia="Times New Roman" w:hAnsi="Arial" w:cs="Arial"/>
          <w:b/>
          <w:i/>
          <w:color w:val="0000FF"/>
        </w:rPr>
        <w:t xml:space="preserve">choose one </w:t>
      </w:r>
      <w:r w:rsidRPr="005A31CF">
        <w:rPr>
          <w:rFonts w:ascii="Arial" w:eastAsia="Times New Roman" w:hAnsi="Arial" w:cs="Arial"/>
        </w:rPr>
        <w:t xml:space="preserve">the </w:t>
      </w:r>
      <w:r w:rsidRPr="005A31CF">
        <w:rPr>
          <w:rFonts w:ascii="Arial" w:eastAsia="Times New Roman" w:hAnsi="Arial" w:cs="Arial"/>
          <w:b/>
          <w:i/>
          <w:color w:val="0000FF"/>
        </w:rPr>
        <w:t xml:space="preserve">pooling/ dedicated </w:t>
      </w:r>
      <w:r w:rsidRPr="005A31CF">
        <w:rPr>
          <w:rFonts w:ascii="Arial" w:eastAsia="Times New Roman" w:hAnsi="Arial" w:cs="Arial"/>
        </w:rPr>
        <w:t>method.</w:t>
      </w:r>
      <w:r w:rsidRPr="005A31CF">
        <w:rPr>
          <w:rFonts w:ascii="Arial" w:eastAsia="Times New Roman" w:hAnsi="Arial" w:cs="Arial"/>
          <w:b/>
          <w:i/>
          <w:color w:val="0000FF"/>
        </w:rPr>
        <w:t xml:space="preserve"> [If using the dedicated method and have uninsured deposits subject to custodial credit risk add the following.] </w:t>
      </w:r>
      <w:r w:rsidRPr="005A31CF">
        <w:rPr>
          <w:rFonts w:ascii="Arial" w:eastAsia="Times New Roman" w:hAnsi="Arial" w:cs="Arial"/>
        </w:rPr>
        <w:t>As of</w:t>
      </w:r>
      <w:r>
        <w:rPr>
          <w:rFonts w:ascii="Arial" w:eastAsia="Times New Roman" w:hAnsi="Arial" w:cs="Arial"/>
        </w:rPr>
        <w:t xml:space="preserve"> June 30, 2022,</w:t>
      </w:r>
      <w:r w:rsidRPr="005A31CF">
        <w:rPr>
          <w:rFonts w:ascii="Arial" w:eastAsia="Times New Roman" w:hAnsi="Arial" w:cs="Arial"/>
        </w:rPr>
        <w:t xml:space="preserve"> the College’s bank balance was exposed to custodial credit risk as follows: </w:t>
      </w:r>
      <w:r w:rsidRPr="005A31CF">
        <w:rPr>
          <w:rFonts w:ascii="Arial" w:eastAsia="Times New Roman" w:hAnsi="Arial" w:cs="Arial"/>
          <w:b/>
          <w:i/>
          <w:color w:val="0000FF"/>
        </w:rPr>
        <w:t>[Modify as necessary.]</w:t>
      </w:r>
    </w:p>
    <w:bookmarkStart w:id="10" w:name="_MON_1559106872"/>
    <w:bookmarkEnd w:id="10"/>
    <w:p w14:paraId="1A2EA67C" w14:textId="77777777" w:rsidR="005558B6" w:rsidRPr="005A31CF" w:rsidRDefault="005558B6" w:rsidP="00A66832">
      <w:pPr>
        <w:spacing w:after="240" w:line="240" w:lineRule="auto"/>
        <w:ind w:left="360"/>
        <w:jc w:val="center"/>
        <w:rPr>
          <w:rFonts w:ascii="Arial" w:eastAsia="Times New Roman" w:hAnsi="Arial" w:cs="Arial"/>
        </w:rPr>
      </w:pPr>
      <w:r w:rsidRPr="00B377DB">
        <w:rPr>
          <w:rFonts w:ascii="Arial" w:eastAsia="Times New Roman" w:hAnsi="Arial" w:cs="Arial"/>
        </w:rPr>
        <w:object w:dxaOrig="5677" w:dyaOrig="1607" w14:anchorId="5248C455">
          <v:shape id="_x0000_i1026" type="#_x0000_t75" style="width:280.5pt;height:86.25pt" o:ole="">
            <v:imagedata r:id="rId14" o:title=""/>
          </v:shape>
          <o:OLEObject Type="Embed" ProgID="Excel.Sheet.12" ShapeID="_x0000_i1026" DrawAspect="Content" ObjectID="_1721553171" r:id="rId15"/>
        </w:object>
      </w:r>
      <w:bookmarkStart w:id="11" w:name="_MON_1559106872"/>
      <w:bookmarkEnd w:id="11"/>
    </w:p>
    <w:p w14:paraId="0AB59866" w14:textId="77777777" w:rsidR="005558B6" w:rsidRPr="00641103" w:rsidRDefault="005558B6" w:rsidP="00A66832">
      <w:pPr>
        <w:spacing w:after="240" w:line="240" w:lineRule="auto"/>
        <w:ind w:left="360"/>
        <w:jc w:val="both"/>
        <w:rPr>
          <w:rFonts w:ascii="Arial" w:eastAsia="Times New Roman" w:hAnsi="Arial" w:cs="Arial"/>
        </w:rPr>
      </w:pPr>
      <w:r w:rsidRPr="005A31CF">
        <w:rPr>
          <w:rFonts w:ascii="Arial" w:eastAsia="Times New Roman" w:hAnsi="Arial" w:cs="Arial"/>
          <w:b/>
          <w:i/>
          <w:color w:val="0000FF"/>
        </w:rPr>
        <w:lastRenderedPageBreak/>
        <w:t>[Revise the following applicable to the College’s investments and in accordance with other instructions in bold print. Options provided are not all</w:t>
      </w:r>
      <w:r w:rsidRPr="005A31CF">
        <w:rPr>
          <w:rFonts w:ascii="Arial" w:eastAsia="Times New Roman" w:hAnsi="Arial" w:cs="Arial"/>
          <w:b/>
          <w:i/>
          <w:color w:val="0000FF"/>
        </w:rPr>
        <w:noBreakHyphen/>
        <w:t xml:space="preserve">inclusive; therefore, please revise </w:t>
      </w:r>
      <w:r w:rsidRPr="00641103">
        <w:rPr>
          <w:rFonts w:ascii="Arial" w:eastAsia="Times New Roman" w:hAnsi="Arial" w:cs="Arial"/>
          <w:b/>
          <w:i/>
          <w:color w:val="0000FF"/>
        </w:rPr>
        <w:t>if necessary.]</w:t>
      </w:r>
      <w:r w:rsidRPr="00641103">
        <w:rPr>
          <w:rFonts w:ascii="Arial" w:eastAsia="Times New Roman" w:hAnsi="Arial" w:cs="Arial"/>
        </w:rPr>
        <w:t xml:space="preserve"> </w:t>
      </w:r>
    </w:p>
    <w:p w14:paraId="73A4411E" w14:textId="77777777" w:rsidR="005558B6" w:rsidRPr="00641103" w:rsidRDefault="005558B6" w:rsidP="00A66832">
      <w:pPr>
        <w:numPr>
          <w:ilvl w:val="0"/>
          <w:numId w:val="28"/>
        </w:numPr>
        <w:spacing w:after="240" w:line="240" w:lineRule="auto"/>
        <w:ind w:left="360"/>
        <w:jc w:val="both"/>
        <w:rPr>
          <w:rFonts w:ascii="Arial" w:eastAsia="Times New Roman" w:hAnsi="Arial" w:cs="Arial"/>
        </w:rPr>
      </w:pPr>
      <w:r w:rsidRPr="00641103">
        <w:rPr>
          <w:rFonts w:ascii="Arial" w:eastAsia="Times New Roman" w:hAnsi="Arial" w:cs="Arial"/>
          <w:b/>
        </w:rPr>
        <w:t>Investments</w:t>
      </w:r>
      <w:r w:rsidRPr="00641103">
        <w:rPr>
          <w:rFonts w:ascii="Arial" w:eastAsia="Times New Roman" w:hAnsi="Arial" w:cs="Arial"/>
        </w:rPr>
        <w:t xml:space="preserve"> - </w:t>
      </w:r>
      <w:r w:rsidRPr="00641103">
        <w:rPr>
          <w:rFonts w:ascii="Arial" w:eastAsia="Times New Roman" w:hAnsi="Arial" w:cs="Arial"/>
          <w:b/>
          <w:i/>
          <w:color w:val="0000FF"/>
        </w:rPr>
        <w:t xml:space="preserve">[If the College has discretely presented component units with material investments not invested with the College </w:t>
      </w:r>
      <w:r w:rsidRPr="00641103">
        <w:rPr>
          <w:rFonts w:ascii="Arial" w:eastAsia="Times New Roman" w:hAnsi="Arial" w:cs="Arial"/>
          <w:i/>
          <w:color w:val="0000FF"/>
        </w:rPr>
        <w:t>-</w:t>
      </w:r>
      <w:r w:rsidRPr="00641103">
        <w:rPr>
          <w:rFonts w:ascii="Arial" w:eastAsia="Times New Roman" w:hAnsi="Arial" w:cs="Arial"/>
          <w:b/>
          <w:i/>
          <w:color w:val="0000FF"/>
        </w:rPr>
        <w:t xml:space="preserve"> then additional disclosure is necessary and the College investments note will be one part of the note and the component unit will be another. If not, delete the “College</w:t>
      </w:r>
      <w:r w:rsidRPr="00AE2160">
        <w:rPr>
          <w:rFonts w:ascii="Arial" w:eastAsia="Times New Roman" w:hAnsi="Arial" w:cs="Arial"/>
          <w:b/>
          <w:i/>
          <w:color w:val="0000FF"/>
        </w:rPr>
        <w:t xml:space="preserve">” bold below and make all one note. </w:t>
      </w:r>
      <w:r w:rsidRPr="00AE2160">
        <w:rPr>
          <w:rFonts w:ascii="Arial" w:hAnsi="Arial" w:cs="Arial"/>
          <w:b/>
          <w:i/>
          <w:color w:val="0000FF"/>
        </w:rPr>
        <w:t>See GASB Codification Section 150.139.]</w:t>
      </w:r>
    </w:p>
    <w:p w14:paraId="7F630159" w14:textId="77777777" w:rsidR="005558B6" w:rsidRPr="00641103" w:rsidRDefault="005558B6" w:rsidP="00A66832">
      <w:pPr>
        <w:spacing w:after="240" w:line="240" w:lineRule="auto"/>
        <w:ind w:left="360"/>
        <w:jc w:val="both"/>
        <w:rPr>
          <w:rFonts w:ascii="Arial" w:eastAsia="Times New Roman" w:hAnsi="Arial" w:cs="Arial"/>
        </w:rPr>
      </w:pPr>
      <w:r w:rsidRPr="00641103">
        <w:rPr>
          <w:rFonts w:ascii="Arial" w:eastAsia="Times New Roman" w:hAnsi="Arial" w:cs="Arial"/>
          <w:b/>
        </w:rPr>
        <w:t xml:space="preserve">College </w:t>
      </w:r>
      <w:r w:rsidRPr="00325729">
        <w:rPr>
          <w:rFonts w:ascii="Arial" w:eastAsia="Times New Roman" w:hAnsi="Arial" w:cs="Arial"/>
        </w:rPr>
        <w:t>-</w:t>
      </w:r>
      <w:r w:rsidRPr="00641103">
        <w:rPr>
          <w:rFonts w:ascii="Arial" w:eastAsia="Times New Roman" w:hAnsi="Arial" w:cs="Arial"/>
          <w:i/>
        </w:rPr>
        <w:t xml:space="preserve"> </w:t>
      </w:r>
      <w:r w:rsidRPr="00641103">
        <w:rPr>
          <w:rFonts w:ascii="Arial" w:eastAsia="Times New Roman" w:hAnsi="Arial" w:cs="Arial"/>
          <w:i/>
          <w:color w:val="0000FF"/>
        </w:rPr>
        <w:t>[In addition to donated securities and real estate held by the College,]</w:t>
      </w:r>
      <w:r w:rsidRPr="00641103">
        <w:rPr>
          <w:rFonts w:ascii="Arial" w:eastAsia="Times New Roman" w:hAnsi="Arial" w:cs="Arial"/>
          <w:color w:val="0000FF"/>
        </w:rPr>
        <w:t xml:space="preserve"> </w:t>
      </w:r>
      <w:r w:rsidRPr="00641103">
        <w:rPr>
          <w:rFonts w:ascii="Arial" w:eastAsia="Times New Roman" w:hAnsi="Arial" w:cs="Arial"/>
        </w:rPr>
        <w:t>the College is authorized to invest idle funds as provided by G.S. 115D-58.6. In accordance with this statute, the College and the Board of Trustees manage investments to ensure they can be converted into cash when needed.</w:t>
      </w:r>
    </w:p>
    <w:p w14:paraId="1437B170" w14:textId="77777777" w:rsidR="005558B6" w:rsidRPr="00641103" w:rsidRDefault="005558B6" w:rsidP="00A66832">
      <w:pPr>
        <w:spacing w:after="240" w:line="240" w:lineRule="auto"/>
        <w:ind w:left="360"/>
        <w:jc w:val="both"/>
        <w:rPr>
          <w:rFonts w:ascii="Arial" w:eastAsia="Times New Roman" w:hAnsi="Arial" w:cs="Arial"/>
        </w:rPr>
      </w:pPr>
      <w:r w:rsidRPr="00641103">
        <w:rPr>
          <w:rFonts w:ascii="Arial" w:eastAsia="Times New Roman" w:hAnsi="Arial" w:cs="Arial"/>
        </w:rPr>
        <w:t xml:space="preserve">Generally, funds belonging to the College may be invested in any form of investment established or managed by certain investment advisors pursuant to G.S. 115D-58.6(d1) or in the form of investments pursuant to G.S. 159-30(c), as follows: a commingled investment pool established and administered by the State Treasurer pursuant to G.S. 147-69.3 (STIF); obligations of or fully guaranteed by the United States; obligations of the State of North Carolina; bonds and notes of any North Carolina local government or public authority; obligations of certain nonguaranteed federal agencies; prime quality commercial paper bearing specified </w:t>
      </w:r>
      <w:r w:rsidRPr="00641103">
        <w:rPr>
          <w:rFonts w:ascii="Arial" w:eastAsia="Times New Roman" w:hAnsi="Arial" w:cs="Arial"/>
          <w:color w:val="000000"/>
        </w:rPr>
        <w:t>ratings; specified bills of exchange; certain savings certificates; The North Carolina</w:t>
      </w:r>
      <w:r w:rsidRPr="00641103">
        <w:rPr>
          <w:rFonts w:ascii="Arial" w:eastAsia="Times New Roman" w:hAnsi="Arial" w:cs="Arial"/>
        </w:rPr>
        <w:t xml:space="preserve"> Capital Management Trust, an SEC registered mutual fund; repurchase agreements; and evidences of ownership of, or fractional undivided interests in, future interest and principal payments on either direct obligations of or fully guaranteed by the United States government, which are held by a specified bank or trust company or any state in the capacity </w:t>
      </w:r>
      <w:bookmarkStart w:id="12" w:name="GS"/>
      <w:r w:rsidRPr="00641103">
        <w:rPr>
          <w:rFonts w:ascii="Arial" w:eastAsia="Times New Roman" w:hAnsi="Arial" w:cs="Arial"/>
        </w:rPr>
        <w:t>of custodian</w:t>
      </w:r>
      <w:bookmarkEnd w:id="12"/>
      <w:r w:rsidRPr="00641103">
        <w:rPr>
          <w:rFonts w:ascii="Arial" w:eastAsia="Times New Roman" w:hAnsi="Arial" w:cs="Arial"/>
        </w:rPr>
        <w:t>.</w:t>
      </w:r>
    </w:p>
    <w:p w14:paraId="379EE423" w14:textId="177FA2B3" w:rsidR="005558B6" w:rsidRDefault="005558B6" w:rsidP="00A66832">
      <w:pPr>
        <w:spacing w:after="240" w:line="240" w:lineRule="auto"/>
        <w:ind w:left="360"/>
        <w:jc w:val="both"/>
        <w:rPr>
          <w:rFonts w:ascii="Arial" w:eastAsia="Times New Roman" w:hAnsi="Arial" w:cs="Arial"/>
          <w:b/>
          <w:i/>
          <w:color w:val="0000FF"/>
        </w:rPr>
      </w:pPr>
      <w:r w:rsidRPr="00641103">
        <w:rPr>
          <w:rFonts w:ascii="Arial" w:eastAsia="Times New Roman" w:hAnsi="Arial" w:cs="Arial"/>
        </w:rPr>
        <w:t xml:space="preserve">At June 30, </w:t>
      </w:r>
      <w:r>
        <w:rPr>
          <w:rFonts w:ascii="Arial" w:eastAsia="Times New Roman" w:hAnsi="Arial" w:cs="Arial"/>
        </w:rPr>
        <w:t>2022</w:t>
      </w:r>
      <w:r w:rsidRPr="00641103">
        <w:rPr>
          <w:rFonts w:ascii="Arial" w:eastAsia="Times New Roman" w:hAnsi="Arial" w:cs="Arial"/>
        </w:rPr>
        <w:t xml:space="preserve">, the amount shown on the Statement of Net Position as cash and cash equivalents includes $__________, which represents the College’s equity position in the State Treasurer’s Short-Term Investment Fund (STIF). The STIF (a portfolio within the State Treasurer’s Investment Pool, an external investment pool that is not registered with the Securities and Exchange Commission or subject to any other regulatory oversight and does not have a credit rating) had a weighted average maturity of </w:t>
      </w:r>
      <w:r w:rsidR="00156AD2" w:rsidRPr="005D6187">
        <w:rPr>
          <w:rFonts w:ascii="Arial" w:eastAsia="Times New Roman" w:hAnsi="Arial" w:cs="Arial"/>
          <w:highlight w:val="green"/>
        </w:rPr>
        <w:t>0</w:t>
      </w:r>
      <w:r w:rsidRPr="005D6187">
        <w:rPr>
          <w:rFonts w:ascii="Arial" w:eastAsia="Times New Roman" w:hAnsi="Arial" w:cs="Arial"/>
          <w:highlight w:val="green"/>
        </w:rPr>
        <w:t>.</w:t>
      </w:r>
      <w:r w:rsidR="00156AD2" w:rsidRPr="005D6187">
        <w:rPr>
          <w:rFonts w:ascii="Arial" w:eastAsia="Times New Roman" w:hAnsi="Arial" w:cs="Arial"/>
          <w:highlight w:val="green"/>
        </w:rPr>
        <w:t>9</w:t>
      </w:r>
      <w:r w:rsidRPr="00641103">
        <w:rPr>
          <w:rFonts w:ascii="Arial" w:eastAsia="Times New Roman" w:hAnsi="Arial" w:cs="Arial"/>
        </w:rPr>
        <w:t xml:space="preserve"> years as of </w:t>
      </w:r>
      <w:r w:rsidR="00803B22">
        <w:rPr>
          <w:rFonts w:ascii="Arial" w:eastAsia="Times New Roman" w:hAnsi="Arial" w:cs="Arial"/>
        </w:rPr>
        <w:br/>
      </w:r>
      <w:r w:rsidRPr="00641103">
        <w:rPr>
          <w:rFonts w:ascii="Arial" w:eastAsia="Times New Roman" w:hAnsi="Arial" w:cs="Arial"/>
        </w:rPr>
        <w:t xml:space="preserve">June 30, </w:t>
      </w:r>
      <w:r>
        <w:rPr>
          <w:rFonts w:ascii="Arial" w:eastAsia="Times New Roman" w:hAnsi="Arial" w:cs="Arial"/>
        </w:rPr>
        <w:t>2022</w:t>
      </w:r>
      <w:r w:rsidRPr="00641103">
        <w:rPr>
          <w:rFonts w:ascii="Arial" w:eastAsia="Times New Roman" w:hAnsi="Arial" w:cs="Arial"/>
        </w:rPr>
        <w:t xml:space="preserve">. Assets and shares of the STIF are valued at fair value. Deposit and investment risks associated with the State Treasurer’s Investment Pool (which includes the State Treasurer’s STIF) are included in the 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w:t>
      </w:r>
      <w:hyperlink r:id="rId16" w:history="1">
        <w:r w:rsidRPr="00E37908">
          <w:rPr>
            <w:rStyle w:val="Hyperlink"/>
            <w:rFonts w:ascii="Arial" w:eastAsia="Times New Roman" w:hAnsi="Arial" w:cs="Arial"/>
          </w:rPr>
          <w:t>https://www.nctreasurer.com/</w:t>
        </w:r>
      </w:hyperlink>
      <w:r w:rsidRPr="00641103">
        <w:rPr>
          <w:rFonts w:ascii="Arial" w:eastAsia="Times New Roman" w:hAnsi="Arial" w:cs="Arial"/>
        </w:rPr>
        <w:t xml:space="preserve"> in the Audited Financial Statements section.</w:t>
      </w:r>
    </w:p>
    <w:p w14:paraId="65A2F35F" w14:textId="77777777" w:rsidR="005558B6" w:rsidRPr="00641103" w:rsidRDefault="005558B6" w:rsidP="00A66832">
      <w:pPr>
        <w:spacing w:after="240" w:line="240" w:lineRule="auto"/>
        <w:ind w:left="360"/>
        <w:jc w:val="both"/>
        <w:rPr>
          <w:rFonts w:ascii="Arial" w:eastAsia="Times New Roman" w:hAnsi="Arial" w:cs="Arial"/>
          <w:b/>
          <w:color w:val="0000FF"/>
        </w:rPr>
      </w:pPr>
      <w:r w:rsidRPr="00641103">
        <w:rPr>
          <w:rFonts w:ascii="Arial" w:eastAsia="Times New Roman" w:hAnsi="Arial" w:cs="Arial"/>
          <w:b/>
          <w:i/>
          <w:color w:val="0000FF"/>
        </w:rPr>
        <w:t>[Instructions to preparer, STIF balances applicable to component units within the reporting entity should be reported in the component unit statement of net position. The STIF amount reported on the college statement of net position and in this note will be the STIF balance for the college and any component units not included in the college report.]</w:t>
      </w:r>
    </w:p>
    <w:p w14:paraId="375F697D" w14:textId="77777777" w:rsidR="005558B6" w:rsidRPr="00641103" w:rsidRDefault="005558B6" w:rsidP="00A66832">
      <w:pPr>
        <w:spacing w:after="240" w:line="240" w:lineRule="auto"/>
        <w:ind w:left="360"/>
        <w:jc w:val="center"/>
        <w:rPr>
          <w:rFonts w:ascii="Arial" w:eastAsia="Times New Roman" w:hAnsi="Arial" w:cs="Arial"/>
          <w:b/>
          <w:i/>
          <w:color w:val="0000FF"/>
        </w:rPr>
      </w:pPr>
      <w:r w:rsidRPr="00641103">
        <w:rPr>
          <w:rFonts w:ascii="Arial" w:eastAsia="Times New Roman" w:hAnsi="Arial" w:cs="Arial"/>
          <w:b/>
          <w:i/>
          <w:color w:val="0000FF"/>
        </w:rPr>
        <w:t>[Add for endowment funds only.]</w:t>
      </w:r>
    </w:p>
    <w:p w14:paraId="625EC26A" w14:textId="77777777" w:rsidR="005558B6" w:rsidRPr="00641103" w:rsidRDefault="005558B6" w:rsidP="00A66832">
      <w:pPr>
        <w:spacing w:after="240" w:line="240" w:lineRule="auto"/>
        <w:ind w:left="360"/>
        <w:jc w:val="both"/>
        <w:rPr>
          <w:rFonts w:ascii="Arial" w:eastAsia="Times New Roman" w:hAnsi="Arial" w:cs="Arial"/>
        </w:rPr>
      </w:pPr>
      <w:r w:rsidRPr="00641103">
        <w:rPr>
          <w:rFonts w:ascii="Arial" w:eastAsia="Times New Roman" w:hAnsi="Arial" w:cs="Arial"/>
        </w:rPr>
        <w:lastRenderedPageBreak/>
        <w:t>Except as specified by the donor, endowment funds belonging to the College may be invested pursuant to G.S. 147-69.2. This statute authorizes investments for special funds held by the State Treasurer and includes the following investments: obligations of or fully guaranteed by the United States; obligations of certain federal agencies; repurchase agreements; obligations of the State of North Carolina; certificates of deposit and other deposit accounts of specified financial institutions; prime quality commercial paper; asset-backed securities, bills of exchange or time drafts, and corporate bonds/notes with specified ratings; general obligations of other states; general obligations of North Carolina local governments and obligations of certain entities with specified ratings.</w:t>
      </w:r>
    </w:p>
    <w:p w14:paraId="68554CD3" w14:textId="52A290DB" w:rsidR="005558B6" w:rsidRPr="00641103" w:rsidRDefault="005558B6" w:rsidP="00A66832">
      <w:pPr>
        <w:spacing w:after="240" w:line="240" w:lineRule="auto"/>
        <w:ind w:left="360"/>
        <w:jc w:val="both"/>
        <w:rPr>
          <w:rFonts w:ascii="Arial" w:eastAsia="Times New Roman" w:hAnsi="Arial" w:cs="Arial"/>
        </w:rPr>
      </w:pPr>
      <w:r w:rsidRPr="00641103">
        <w:rPr>
          <w:rFonts w:ascii="Arial" w:eastAsia="Times New Roman" w:hAnsi="Arial" w:cs="Arial"/>
        </w:rPr>
        <w:t xml:space="preserve">At June 30, </w:t>
      </w:r>
      <w:r>
        <w:rPr>
          <w:rFonts w:ascii="Arial" w:eastAsia="Times New Roman" w:hAnsi="Arial" w:cs="Arial"/>
        </w:rPr>
        <w:t>2022</w:t>
      </w:r>
      <w:r w:rsidRPr="00641103">
        <w:rPr>
          <w:rFonts w:ascii="Arial" w:eastAsia="Times New Roman" w:hAnsi="Arial" w:cs="Arial"/>
        </w:rPr>
        <w:t xml:space="preserve">, the amount shown on the Statement of Net Position as endowment, restricted, and/or other investments includes $________, which represents the College’s equity position in the State Treasurer’s Bond Index Fund (BIF). The BIF (a portfolio within the State Treasurer’s Investment Pool, an external investment pool that is not registered with the Securities and Exchange Commission or subject to any formal regulatory oversight and does not have a credit rating) had a weighted average maturity of </w:t>
      </w:r>
      <w:r w:rsidR="00156AD2" w:rsidRPr="005D6187">
        <w:rPr>
          <w:rFonts w:ascii="Arial" w:eastAsia="Times New Roman" w:hAnsi="Arial" w:cs="Arial"/>
          <w:highlight w:val="green"/>
        </w:rPr>
        <w:t>8</w:t>
      </w:r>
      <w:r w:rsidRPr="005D6187">
        <w:rPr>
          <w:rFonts w:ascii="Arial" w:eastAsia="Times New Roman" w:hAnsi="Arial" w:cs="Arial"/>
          <w:highlight w:val="green"/>
        </w:rPr>
        <w:t>.</w:t>
      </w:r>
      <w:r w:rsidR="00156AD2" w:rsidRPr="005D6187">
        <w:rPr>
          <w:rFonts w:ascii="Arial" w:eastAsia="Times New Roman" w:hAnsi="Arial" w:cs="Arial"/>
          <w:highlight w:val="green"/>
        </w:rPr>
        <w:t>75</w:t>
      </w:r>
      <w:r>
        <w:rPr>
          <w:rFonts w:ascii="Arial" w:eastAsia="Times New Roman" w:hAnsi="Arial" w:cs="Arial"/>
        </w:rPr>
        <w:t xml:space="preserve"> </w:t>
      </w:r>
      <w:r w:rsidRPr="00641103">
        <w:rPr>
          <w:rFonts w:ascii="Arial" w:eastAsia="Times New Roman" w:hAnsi="Arial" w:cs="Arial"/>
        </w:rPr>
        <w:t xml:space="preserve">years at </w:t>
      </w:r>
      <w:r w:rsidR="00803B22">
        <w:rPr>
          <w:rFonts w:ascii="Arial" w:eastAsia="Times New Roman" w:hAnsi="Arial" w:cs="Arial"/>
        </w:rPr>
        <w:br/>
      </w:r>
      <w:r w:rsidRPr="00641103">
        <w:rPr>
          <w:rFonts w:ascii="Arial" w:eastAsia="Times New Roman" w:hAnsi="Arial" w:cs="Arial"/>
        </w:rPr>
        <w:t xml:space="preserve">June 30, </w:t>
      </w:r>
      <w:r>
        <w:rPr>
          <w:rFonts w:ascii="Arial" w:eastAsia="Times New Roman" w:hAnsi="Arial" w:cs="Arial"/>
        </w:rPr>
        <w:t>2022</w:t>
      </w:r>
      <w:r w:rsidRPr="00641103">
        <w:rPr>
          <w:rFonts w:ascii="Arial" w:eastAsia="Times New Roman" w:hAnsi="Arial" w:cs="Arial"/>
        </w:rPr>
        <w:t xml:space="preserve">. Assets and shares of the BIF are valued at fair value. Deposit and investment risks associated with the State Treasurer’s Investment Pool (which includes the State Treasurer’s BIF) are included in the 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w:t>
      </w:r>
      <w:hyperlink r:id="rId17" w:history="1">
        <w:r w:rsidRPr="00E37908">
          <w:rPr>
            <w:rStyle w:val="Hyperlink"/>
            <w:rFonts w:ascii="Arial" w:eastAsia="Times New Roman" w:hAnsi="Arial" w:cs="Arial"/>
          </w:rPr>
          <w:t>https://www.nctreasurer.com/</w:t>
        </w:r>
      </w:hyperlink>
      <w:r w:rsidRPr="00641103">
        <w:rPr>
          <w:rFonts w:ascii="Arial" w:eastAsia="Times New Roman" w:hAnsi="Arial" w:cs="Arial"/>
        </w:rPr>
        <w:t xml:space="preserve"> in the Audited Financial Statements section.</w:t>
      </w:r>
    </w:p>
    <w:p w14:paraId="2B711F35" w14:textId="77777777" w:rsidR="005558B6" w:rsidRPr="00641103" w:rsidRDefault="005558B6" w:rsidP="00A66832">
      <w:pPr>
        <w:spacing w:after="240" w:line="240" w:lineRule="auto"/>
        <w:ind w:left="360"/>
        <w:jc w:val="center"/>
        <w:rPr>
          <w:rFonts w:ascii="Arial" w:eastAsia="Times New Roman" w:hAnsi="Arial" w:cs="Arial"/>
          <w:b/>
          <w:i/>
          <w:color w:val="0000FF"/>
        </w:rPr>
      </w:pPr>
      <w:r w:rsidRPr="00641103">
        <w:rPr>
          <w:rFonts w:ascii="Arial" w:eastAsia="Times New Roman" w:hAnsi="Arial" w:cs="Arial"/>
          <w:b/>
          <w:i/>
          <w:color w:val="0000FF"/>
        </w:rPr>
        <w:t xml:space="preserve">[Add for blended component units only </w:t>
      </w:r>
      <w:r w:rsidRPr="00641103">
        <w:rPr>
          <w:rFonts w:ascii="Arial" w:eastAsia="Times New Roman" w:hAnsi="Arial" w:cs="Arial"/>
          <w:i/>
          <w:color w:val="0000FF"/>
        </w:rPr>
        <w:t>-</w:t>
      </w:r>
      <w:r w:rsidRPr="00641103">
        <w:rPr>
          <w:rFonts w:ascii="Arial" w:eastAsia="Times New Roman" w:hAnsi="Arial" w:cs="Arial"/>
          <w:b/>
          <w:i/>
          <w:color w:val="0000FF"/>
        </w:rPr>
        <w:t xml:space="preserve"> example follows.]</w:t>
      </w:r>
    </w:p>
    <w:p w14:paraId="2DC704F4" w14:textId="77777777" w:rsidR="005558B6" w:rsidRPr="00641103" w:rsidRDefault="005558B6" w:rsidP="00A66832">
      <w:pPr>
        <w:spacing w:after="240" w:line="240" w:lineRule="auto"/>
        <w:ind w:left="360"/>
        <w:jc w:val="both"/>
        <w:rPr>
          <w:rFonts w:ascii="Arial" w:eastAsia="Times New Roman" w:hAnsi="Arial" w:cs="Arial"/>
        </w:rPr>
      </w:pPr>
      <w:r w:rsidRPr="00641103">
        <w:rPr>
          <w:rFonts w:ascii="Arial" w:eastAsia="Times New Roman" w:hAnsi="Arial" w:cs="Arial"/>
        </w:rPr>
        <w:t>Investments of the College’s component unit(s), [the Foundation and __________,] are subject to and restricted by G.S. 36E Uniform Prudent Management of Institutional Funds Act (UPMIFA) and any requirements placed on them by contract or donor agreements.</w:t>
      </w:r>
    </w:p>
    <w:p w14:paraId="4715D02B" w14:textId="77777777" w:rsidR="005558B6" w:rsidRPr="00641103" w:rsidRDefault="005558B6" w:rsidP="00A66832">
      <w:pPr>
        <w:pBdr>
          <w:top w:val="single" w:sz="4" w:space="1" w:color="auto"/>
          <w:left w:val="single" w:sz="4" w:space="4" w:color="auto"/>
          <w:bottom w:val="single" w:sz="4" w:space="1" w:color="auto"/>
          <w:right w:val="single" w:sz="4" w:space="4" w:color="auto"/>
        </w:pBdr>
        <w:spacing w:after="240" w:line="240" w:lineRule="auto"/>
        <w:ind w:left="360"/>
        <w:jc w:val="center"/>
        <w:rPr>
          <w:rFonts w:ascii="Arial" w:eastAsia="Times New Roman" w:hAnsi="Arial" w:cs="Arial"/>
          <w:b/>
          <w:i/>
          <w:color w:val="0000FF"/>
        </w:rPr>
      </w:pPr>
      <w:r w:rsidRPr="00641103">
        <w:rPr>
          <w:rFonts w:ascii="Arial" w:eastAsia="Times New Roman" w:hAnsi="Arial" w:cs="Arial"/>
          <w:b/>
          <w:i/>
          <w:color w:val="0000FF"/>
        </w:rPr>
        <w:t xml:space="preserve">If the College has </w:t>
      </w:r>
      <w:r w:rsidRPr="00641103">
        <w:rPr>
          <w:rFonts w:ascii="Arial" w:eastAsia="Times New Roman" w:hAnsi="Arial" w:cs="Arial"/>
          <w:b/>
          <w:i/>
          <w:color w:val="0000FF"/>
          <w:u w:val="single"/>
        </w:rPr>
        <w:t>pooled</w:t>
      </w:r>
      <w:r w:rsidRPr="00641103">
        <w:rPr>
          <w:rFonts w:ascii="Arial" w:eastAsia="Times New Roman" w:hAnsi="Arial" w:cs="Arial"/>
          <w:b/>
          <w:i/>
          <w:color w:val="0000FF"/>
        </w:rPr>
        <w:t xml:space="preserve"> investments in addition to STIF or LTIP, additional disclosures may be required. </w:t>
      </w:r>
    </w:p>
    <w:p w14:paraId="2ADFDF0F" w14:textId="77777777" w:rsidR="005558B6" w:rsidRPr="00641103" w:rsidRDefault="005558B6" w:rsidP="00A66832">
      <w:pPr>
        <w:pBdr>
          <w:top w:val="single" w:sz="4" w:space="1" w:color="auto"/>
          <w:left w:val="single" w:sz="4" w:space="0" w:color="auto"/>
          <w:bottom w:val="single" w:sz="4" w:space="1" w:color="auto"/>
          <w:right w:val="single" w:sz="4" w:space="4" w:color="auto"/>
        </w:pBdr>
        <w:spacing w:after="240" w:line="240" w:lineRule="auto"/>
        <w:ind w:left="360"/>
        <w:jc w:val="both"/>
        <w:rPr>
          <w:rFonts w:ascii="Arial" w:eastAsia="Times New Roman" w:hAnsi="Arial" w:cs="Arial"/>
          <w:b/>
          <w:bCs/>
          <w:i/>
          <w:iCs/>
          <w:color w:val="0000FF"/>
        </w:rPr>
      </w:pPr>
      <w:r w:rsidRPr="00641103">
        <w:rPr>
          <w:rFonts w:ascii="Arial" w:eastAsia="Times New Roman" w:hAnsi="Arial" w:cs="Arial"/>
          <w:b/>
          <w:bCs/>
          <w:i/>
          <w:iCs/>
          <w:color w:val="0000FF"/>
        </w:rPr>
        <w:t>For Colleges with investments outside of STIF or LTIP:</w:t>
      </w:r>
    </w:p>
    <w:p w14:paraId="697D0954" w14:textId="77777777" w:rsidR="005558B6" w:rsidRPr="005A31CF" w:rsidRDefault="005558B6" w:rsidP="00A66832">
      <w:pPr>
        <w:spacing w:after="240" w:line="240" w:lineRule="auto"/>
        <w:ind w:left="360"/>
        <w:jc w:val="both"/>
        <w:rPr>
          <w:rFonts w:ascii="Arial" w:eastAsia="Times New Roman" w:hAnsi="Arial" w:cs="Arial"/>
          <w:b/>
          <w:i/>
          <w:color w:val="0000FF"/>
        </w:rPr>
      </w:pPr>
      <w:r w:rsidRPr="00641103">
        <w:rPr>
          <w:rFonts w:ascii="Arial" w:eastAsia="Times New Roman" w:hAnsi="Arial" w:cs="Arial"/>
        </w:rPr>
        <w:t xml:space="preserve">The following table presents the investments by type and investments subject to interest rate risk at June 30, </w:t>
      </w:r>
      <w:r>
        <w:rPr>
          <w:rFonts w:ascii="Arial" w:eastAsia="Times New Roman" w:hAnsi="Arial" w:cs="Arial"/>
        </w:rPr>
        <w:t>2022</w:t>
      </w:r>
      <w:r w:rsidRPr="00641103">
        <w:rPr>
          <w:rFonts w:ascii="Arial" w:eastAsia="Times New Roman" w:hAnsi="Arial" w:cs="Arial"/>
        </w:rPr>
        <w:t>, for the College’s investments</w:t>
      </w:r>
      <w:r w:rsidRPr="00641103">
        <w:rPr>
          <w:rFonts w:ascii="Arial" w:eastAsia="Times New Roman" w:hAnsi="Arial" w:cs="Arial"/>
          <w:color w:val="0000FF"/>
        </w:rPr>
        <w:t xml:space="preserve">. </w:t>
      </w:r>
      <w:r w:rsidRPr="00641103">
        <w:rPr>
          <w:rFonts w:ascii="Arial" w:eastAsia="Times New Roman" w:hAnsi="Arial" w:cs="Arial"/>
          <w:bCs/>
        </w:rPr>
        <w:t xml:space="preserve">Interest rate risk is defined by GASB Statement No. 40, </w:t>
      </w:r>
      <w:r w:rsidRPr="00641103">
        <w:rPr>
          <w:rFonts w:ascii="Arial" w:hAnsi="Arial" w:cs="Arial"/>
          <w:bCs/>
          <w:i/>
        </w:rPr>
        <w:t>Deposit and Investment Risk Disclosures – An Amendment of GASB Statement No.</w:t>
      </w:r>
      <w:r>
        <w:rPr>
          <w:rFonts w:ascii="Arial" w:hAnsi="Arial" w:cs="Arial"/>
          <w:bCs/>
          <w:i/>
        </w:rPr>
        <w:t xml:space="preserve"> </w:t>
      </w:r>
      <w:r w:rsidRPr="00641103">
        <w:rPr>
          <w:rFonts w:ascii="Arial" w:hAnsi="Arial" w:cs="Arial"/>
          <w:bCs/>
          <w:i/>
        </w:rPr>
        <w:t>3,</w:t>
      </w:r>
      <w:r w:rsidRPr="00641103">
        <w:rPr>
          <w:rFonts w:ascii="Arial" w:hAnsi="Arial" w:cs="Arial"/>
          <w:bCs/>
        </w:rPr>
        <w:t xml:space="preserve"> </w:t>
      </w:r>
      <w:r w:rsidRPr="00641103">
        <w:rPr>
          <w:rFonts w:ascii="Arial" w:eastAsia="Times New Roman" w:hAnsi="Arial" w:cs="Arial"/>
          <w:bCs/>
        </w:rPr>
        <w:t xml:space="preserve">as the risk a government may face should interest rate variances affect the value of investments. The College does not have a formal investment policy that addresses interest rate risk. </w:t>
      </w:r>
      <w:r w:rsidRPr="00641103">
        <w:rPr>
          <w:rFonts w:ascii="Arial" w:eastAsia="Times New Roman" w:hAnsi="Arial" w:cs="Arial"/>
          <w:b/>
          <w:i/>
          <w:iCs/>
          <w:color w:val="0000FF"/>
        </w:rPr>
        <w:t xml:space="preserve">[Modify as necessary </w:t>
      </w:r>
      <w:r w:rsidRPr="00641103">
        <w:rPr>
          <w:rFonts w:ascii="Arial" w:eastAsia="Times New Roman" w:hAnsi="Arial" w:cs="Arial"/>
          <w:i/>
          <w:iCs/>
          <w:color w:val="0000FF"/>
        </w:rPr>
        <w:t>-</w:t>
      </w:r>
      <w:r w:rsidRPr="00641103">
        <w:rPr>
          <w:rFonts w:ascii="Arial" w:eastAsia="Times New Roman" w:hAnsi="Arial" w:cs="Arial"/>
          <w:b/>
          <w:i/>
          <w:iCs/>
          <w:color w:val="0000FF"/>
        </w:rPr>
        <w:t xml:space="preserve"> see GASB 40 for illustration if policy in place to limit investment maturities. Note to Preparer: If dissimilar investments are grouped into a single investment type, be sure to break out the investment types further as necessary to meet the requirements of GASB Statements 3 and 40. Refer to GASB 40 and the GASB Comprehensive Implementation Guide for further guidance about grouping investments by investment t</w:t>
      </w:r>
      <w:r w:rsidRPr="005A31CF">
        <w:rPr>
          <w:rFonts w:ascii="Arial" w:eastAsia="Times New Roman" w:hAnsi="Arial" w:cs="Arial"/>
          <w:b/>
          <w:i/>
          <w:iCs/>
          <w:color w:val="0000FF"/>
        </w:rPr>
        <w:t>ypes.]</w:t>
      </w:r>
    </w:p>
    <w:p w14:paraId="7CDBD545" w14:textId="77777777" w:rsidR="005558B6" w:rsidRPr="00D21499" w:rsidRDefault="005558B6" w:rsidP="00A66832">
      <w:pPr>
        <w:ind w:left="360"/>
        <w:jc w:val="center"/>
        <w:rPr>
          <w:rFonts w:ascii="Arial" w:hAnsi="Arial" w:cs="Arial"/>
          <w:b/>
          <w:i/>
        </w:rPr>
      </w:pPr>
      <w:r w:rsidRPr="00D21499">
        <w:rPr>
          <w:rFonts w:ascii="Arial" w:hAnsi="Arial" w:cs="Arial"/>
          <w:b/>
          <w:i/>
        </w:rPr>
        <w:t>Investments</w:t>
      </w:r>
    </w:p>
    <w:bookmarkStart w:id="13" w:name="_MON_1305456123"/>
    <w:bookmarkStart w:id="14" w:name="_MON_1365316136"/>
    <w:bookmarkStart w:id="15" w:name="_MON_1367826331"/>
    <w:bookmarkStart w:id="16" w:name="_MON_1368343726"/>
    <w:bookmarkStart w:id="17" w:name="_MON_1370755827"/>
    <w:bookmarkStart w:id="18" w:name="_MON_1375523388"/>
    <w:bookmarkStart w:id="19" w:name="_MON_1401868860"/>
    <w:bookmarkStart w:id="20" w:name="_MON_1401870920"/>
    <w:bookmarkStart w:id="21" w:name="_MON_1405941822"/>
    <w:bookmarkStart w:id="22" w:name="_MON_1405941959"/>
    <w:bookmarkStart w:id="23" w:name="_MON_1420463977"/>
    <w:bookmarkStart w:id="24" w:name="_MON_1182596724"/>
    <w:bookmarkStart w:id="25" w:name="_MON_1182596790"/>
    <w:bookmarkStart w:id="26" w:name="_MON_1182596948"/>
    <w:bookmarkStart w:id="27" w:name="_MON_1182597003"/>
    <w:bookmarkStart w:id="28" w:name="_MON_1188032500"/>
    <w:bookmarkStart w:id="29" w:name="_MON_1188216149"/>
    <w:bookmarkStart w:id="30" w:name="_MON_1188216416"/>
    <w:bookmarkStart w:id="31" w:name="_MON_1188216479"/>
    <w:bookmarkStart w:id="32" w:name="_MON_1188216489"/>
    <w:bookmarkStart w:id="33" w:name="_MON_1188216851"/>
    <w:bookmarkStart w:id="34" w:name="_MON_1188282357"/>
    <w:bookmarkStart w:id="35" w:name="_MON_1191151907"/>
    <w:bookmarkStart w:id="36" w:name="_MON_1192355094"/>
    <w:bookmarkStart w:id="37" w:name="_MON_1211798705"/>
    <w:bookmarkStart w:id="38" w:name="_MON_1211799442"/>
    <w:bookmarkStart w:id="39" w:name="_MON_1212233181"/>
    <w:bookmarkStart w:id="40" w:name="_MON_1220934013"/>
    <w:bookmarkStart w:id="41" w:name="_MON_1220934177"/>
    <w:bookmarkStart w:id="42" w:name="_MON_1220934301"/>
    <w:bookmarkStart w:id="43" w:name="_MON_1224322912"/>
    <w:bookmarkStart w:id="44" w:name="_MON_1246452119"/>
    <w:bookmarkStart w:id="45" w:name="_MON_1220934261"/>
    <w:bookmarkStart w:id="46" w:name="_MON_1277207995"/>
    <w:bookmarkStart w:id="47" w:name="_MON_1191406165"/>
    <w:bookmarkStart w:id="48" w:name="_MON_1277208154"/>
    <w:bookmarkStart w:id="49" w:name="_MON_1277208162"/>
    <w:bookmarkStart w:id="50" w:name="_MON_1277794819"/>
    <w:bookmarkStart w:id="51" w:name="_MON_1277794852"/>
    <w:bookmarkStart w:id="52" w:name="_MON_1286713781"/>
    <w:bookmarkStart w:id="53" w:name="_MON_1286713854"/>
    <w:bookmarkStart w:id="54" w:name="_MON_1286714006"/>
    <w:bookmarkStart w:id="55" w:name="_MON_1286714040"/>
    <w:bookmarkStart w:id="56" w:name="_MON_128671407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Start w:id="57" w:name="_MON_1286772989"/>
    <w:bookmarkEnd w:id="57"/>
    <w:p w14:paraId="1891BEA4" w14:textId="77777777" w:rsidR="005558B6" w:rsidRPr="005A31CF" w:rsidRDefault="005558B6" w:rsidP="00A66832">
      <w:pPr>
        <w:spacing w:after="240" w:line="240" w:lineRule="auto"/>
        <w:ind w:left="360"/>
        <w:jc w:val="center"/>
        <w:rPr>
          <w:rFonts w:ascii="Arial" w:eastAsia="Times New Roman" w:hAnsi="Arial" w:cs="Arial"/>
        </w:rPr>
      </w:pPr>
      <w:r w:rsidRPr="00D14D4F">
        <w:rPr>
          <w:rFonts w:ascii="Arial" w:eastAsia="Times New Roman" w:hAnsi="Arial" w:cs="Arial"/>
        </w:rPr>
        <w:object w:dxaOrig="9734" w:dyaOrig="9898" w14:anchorId="4CA0C579">
          <v:shape id="_x0000_i1027" type="#_x0000_t75" style="width:396pt;height:453.75pt" o:ole="">
            <v:imagedata r:id="rId18" o:title=""/>
          </v:shape>
          <o:OLEObject Type="Embed" ProgID="Excel.Sheet.12" ShapeID="_x0000_i1027" DrawAspect="Content" ObjectID="_1721553172" r:id="rId19"/>
        </w:object>
      </w:r>
    </w:p>
    <w:p w14:paraId="2A4B55BF" w14:textId="77777777" w:rsidR="005558B6" w:rsidRPr="005A31CF" w:rsidRDefault="005558B6" w:rsidP="00A66832">
      <w:pPr>
        <w:spacing w:after="240" w:line="240" w:lineRule="auto"/>
        <w:ind w:left="360"/>
        <w:jc w:val="both"/>
        <w:rPr>
          <w:rFonts w:ascii="Arial" w:eastAsia="Times New Roman" w:hAnsi="Arial" w:cs="Arial"/>
        </w:rPr>
      </w:pPr>
      <w:r w:rsidRPr="005A31CF">
        <w:rPr>
          <w:rFonts w:ascii="Arial" w:eastAsia="Times New Roman" w:hAnsi="Arial" w:cs="Arial"/>
        </w:rPr>
        <w:t xml:space="preserve">Certificates of deposit reported as investments are also a component of the deposit totals reported in the deposits section of this note. </w:t>
      </w:r>
      <w:r w:rsidRPr="005A31CF">
        <w:rPr>
          <w:rFonts w:ascii="Arial" w:eastAsia="Times New Roman" w:hAnsi="Arial" w:cs="Arial"/>
          <w:b/>
          <w:bCs/>
          <w:i/>
          <w:iCs/>
          <w:color w:val="0000FF"/>
        </w:rPr>
        <w:t>[Omit if not applicable.]</w:t>
      </w:r>
    </w:p>
    <w:p w14:paraId="272554C2" w14:textId="77777777" w:rsidR="005558B6" w:rsidRPr="005A31CF" w:rsidRDefault="005558B6" w:rsidP="00A66832">
      <w:pPr>
        <w:spacing w:after="240" w:line="240" w:lineRule="auto"/>
        <w:ind w:left="360"/>
        <w:jc w:val="both"/>
        <w:rPr>
          <w:rFonts w:ascii="Arial" w:eastAsia="Times New Roman" w:hAnsi="Arial" w:cs="Arial"/>
          <w:b/>
          <w:bCs/>
          <w:i/>
          <w:iCs/>
          <w:color w:val="3366FF"/>
        </w:rPr>
      </w:pPr>
      <w:r w:rsidRPr="005A31CF">
        <w:rPr>
          <w:rFonts w:ascii="Arial" w:eastAsia="Times New Roman" w:hAnsi="Arial" w:cs="Arial"/>
        </w:rPr>
        <w:t xml:space="preserve">In addition to the interest rate risk disclosed above, the College’s investments include investments highly sensitive to interest rate changes. </w:t>
      </w:r>
      <w:r w:rsidRPr="005A31CF">
        <w:rPr>
          <w:rFonts w:ascii="Arial" w:eastAsia="Times New Roman" w:hAnsi="Arial" w:cs="Arial"/>
          <w:b/>
          <w:i/>
          <w:color w:val="0000FF"/>
        </w:rPr>
        <w:t>[</w:t>
      </w:r>
      <w:r w:rsidRPr="005A31CF">
        <w:rPr>
          <w:rFonts w:ascii="Arial" w:eastAsia="Times New Roman" w:hAnsi="Arial" w:cs="Arial"/>
          <w:b/>
          <w:bCs/>
          <w:i/>
          <w:iCs/>
          <w:color w:val="0000FF"/>
        </w:rPr>
        <w:t>Describe - see paragraph 16 and 57 (examples listed were asset</w:t>
      </w:r>
      <w:r w:rsidRPr="005A31CF">
        <w:rPr>
          <w:rFonts w:ascii="Arial" w:eastAsia="Times New Roman" w:hAnsi="Arial" w:cs="Arial"/>
          <w:b/>
          <w:bCs/>
          <w:i/>
          <w:iCs/>
          <w:color w:val="0000FF"/>
        </w:rPr>
        <w:noBreakHyphen/>
        <w:t>backed securities) of GASB 40 and Illustration 7 in GASB 40. Illustration 7 includes CMO’s, Inverse Variable</w:t>
      </w:r>
      <w:r w:rsidRPr="005A31CF">
        <w:rPr>
          <w:rFonts w:ascii="Arial" w:eastAsia="Times New Roman" w:hAnsi="Arial" w:cs="Arial"/>
          <w:b/>
          <w:bCs/>
          <w:i/>
          <w:iCs/>
          <w:color w:val="0000FF"/>
        </w:rPr>
        <w:noBreakHyphen/>
        <w:t>Rate Notes, and Variable</w:t>
      </w:r>
      <w:r w:rsidRPr="005A31CF">
        <w:rPr>
          <w:rFonts w:ascii="Arial" w:eastAsia="Times New Roman" w:hAnsi="Arial" w:cs="Arial"/>
          <w:b/>
          <w:bCs/>
          <w:i/>
          <w:iCs/>
          <w:color w:val="0000FF"/>
        </w:rPr>
        <w:noBreakHyphen/>
        <w:t>Coupon Note with Multiplier as examples of investments highly sensitive to interest rate changes.]</w:t>
      </w:r>
    </w:p>
    <w:p w14:paraId="5E315E2E" w14:textId="77777777" w:rsidR="005558B6" w:rsidRPr="005A31CF" w:rsidRDefault="005558B6" w:rsidP="00A66832">
      <w:pPr>
        <w:spacing w:after="240" w:line="240" w:lineRule="auto"/>
        <w:ind w:left="360"/>
        <w:jc w:val="both"/>
        <w:rPr>
          <w:rFonts w:ascii="Arial" w:eastAsia="Times New Roman" w:hAnsi="Arial" w:cs="Arial"/>
          <w:b/>
          <w:i/>
          <w:iCs/>
          <w:color w:val="0000FF"/>
        </w:rPr>
      </w:pPr>
      <w:r w:rsidRPr="005A31CF">
        <w:rPr>
          <w:rFonts w:ascii="Arial" w:eastAsia="Times New Roman" w:hAnsi="Arial" w:cs="Arial"/>
          <w:i/>
          <w:iCs/>
        </w:rPr>
        <w:t>Credit Risk</w:t>
      </w:r>
      <w:r w:rsidRPr="005A31CF">
        <w:rPr>
          <w:rFonts w:ascii="Arial" w:eastAsia="Times New Roman" w:hAnsi="Arial" w:cs="Arial"/>
          <w:iCs/>
        </w:rPr>
        <w:t xml:space="preserve">: Credit risk is the risk that an issuer or other counterparty to an investment will not fulfill its obligations. </w:t>
      </w:r>
      <w:r w:rsidRPr="005A31CF">
        <w:rPr>
          <w:rFonts w:ascii="Arial" w:eastAsia="Times New Roman" w:hAnsi="Arial" w:cs="Arial"/>
        </w:rPr>
        <w:t xml:space="preserve">The College does not have a formal policy that addresses </w:t>
      </w:r>
      <w:r>
        <w:rPr>
          <w:rFonts w:ascii="Arial" w:eastAsia="Times New Roman" w:hAnsi="Arial" w:cs="Arial"/>
        </w:rPr>
        <w:t>credit risk. As of June 30, 2022</w:t>
      </w:r>
      <w:r w:rsidRPr="005A31CF">
        <w:rPr>
          <w:rFonts w:ascii="Arial" w:eastAsia="Times New Roman" w:hAnsi="Arial" w:cs="Arial"/>
        </w:rPr>
        <w:t xml:space="preserve">, the College’s investments were rated as follows: </w:t>
      </w:r>
      <w:r w:rsidRPr="005A31CF">
        <w:rPr>
          <w:rFonts w:ascii="Arial" w:eastAsia="Times New Roman" w:hAnsi="Arial" w:cs="Arial"/>
          <w:b/>
          <w:i/>
          <w:iCs/>
          <w:color w:val="0000FF"/>
        </w:rPr>
        <w:t xml:space="preserve">[Modify as necessary </w:t>
      </w:r>
      <w:r w:rsidRPr="005A31CF">
        <w:rPr>
          <w:rFonts w:ascii="Arial" w:eastAsia="Times New Roman" w:hAnsi="Arial" w:cs="Arial"/>
          <w:i/>
          <w:iCs/>
          <w:color w:val="0000FF"/>
        </w:rPr>
        <w:t>-</w:t>
      </w:r>
      <w:r w:rsidRPr="005A31CF">
        <w:rPr>
          <w:rFonts w:ascii="Arial" w:eastAsia="Times New Roman" w:hAnsi="Arial" w:cs="Arial"/>
          <w:b/>
          <w:i/>
          <w:iCs/>
          <w:color w:val="0000FF"/>
        </w:rPr>
        <w:t xml:space="preserve"> disclose only lowest rating.]</w:t>
      </w:r>
    </w:p>
    <w:bookmarkStart w:id="58" w:name="_MON_1370756096"/>
    <w:bookmarkStart w:id="59" w:name="_MON_1375523468"/>
    <w:bookmarkStart w:id="60" w:name="_MON_1401868897"/>
    <w:bookmarkStart w:id="61" w:name="_MON_1188191753"/>
    <w:bookmarkStart w:id="62" w:name="_MON_1188191786"/>
    <w:bookmarkStart w:id="63" w:name="_MON_1188191850"/>
    <w:bookmarkStart w:id="64" w:name="_MON_1188195059"/>
    <w:bookmarkStart w:id="65" w:name="_MON_1188195077"/>
    <w:bookmarkStart w:id="66" w:name="_MON_1213767604"/>
    <w:bookmarkStart w:id="67" w:name="_MON_1220942073"/>
    <w:bookmarkStart w:id="68" w:name="_MON_1246688545"/>
    <w:bookmarkStart w:id="69" w:name="_MON_1246782142"/>
    <w:bookmarkStart w:id="70" w:name="_MON_1246782216"/>
    <w:bookmarkStart w:id="71" w:name="_MON_1277551094"/>
    <w:bookmarkStart w:id="72" w:name="_MON_1286713947"/>
    <w:bookmarkStart w:id="73" w:name="_MON_1286713968"/>
    <w:bookmarkStart w:id="74" w:name="_MON_1286713985"/>
    <w:bookmarkStart w:id="75" w:name="_MON_1286773012"/>
    <w:bookmarkStart w:id="76" w:name="_MON_136834372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_MON_1370756037"/>
    <w:bookmarkEnd w:id="77"/>
    <w:p w14:paraId="26F70465" w14:textId="77777777" w:rsidR="005558B6" w:rsidRPr="005A31CF" w:rsidRDefault="005558B6" w:rsidP="00A66832">
      <w:pPr>
        <w:spacing w:after="240" w:line="240" w:lineRule="auto"/>
        <w:ind w:left="360"/>
        <w:jc w:val="center"/>
        <w:rPr>
          <w:rFonts w:ascii="Arial" w:eastAsia="Times New Roman" w:hAnsi="Arial" w:cs="Arial"/>
        </w:rPr>
      </w:pPr>
      <w:r w:rsidRPr="005A31CF">
        <w:rPr>
          <w:rFonts w:ascii="Arial" w:eastAsia="Times New Roman" w:hAnsi="Arial" w:cs="Arial"/>
        </w:rPr>
        <w:object w:dxaOrig="10962" w:dyaOrig="5063" w14:anchorId="4EC48F91">
          <v:shape id="_x0000_i1028" type="#_x0000_t75" style="width:446.25pt;height:230.25pt" o:ole="">
            <v:imagedata r:id="rId20" o:title=""/>
            <o:lock v:ext="edit" aspectratio="f"/>
          </v:shape>
          <o:OLEObject Type="Embed" ProgID="Excel.Sheet.12" ShapeID="_x0000_i1028" DrawAspect="Content" ObjectID="_1721553173" r:id="rId21"/>
        </w:object>
      </w:r>
    </w:p>
    <w:p w14:paraId="6D706FEE" w14:textId="77777777" w:rsidR="005558B6" w:rsidRPr="005A31CF" w:rsidRDefault="005558B6" w:rsidP="00A66832">
      <w:pPr>
        <w:spacing w:after="240" w:line="240" w:lineRule="auto"/>
        <w:ind w:left="360"/>
        <w:jc w:val="both"/>
        <w:rPr>
          <w:rFonts w:ascii="Arial" w:eastAsia="Times New Roman" w:hAnsi="Arial" w:cs="Arial"/>
          <w:color w:val="0000FF"/>
        </w:rPr>
      </w:pPr>
      <w:r w:rsidRPr="005A31CF">
        <w:rPr>
          <w:rFonts w:ascii="Arial" w:eastAsia="Times New Roman" w:hAnsi="Arial" w:cs="Arial"/>
          <w:i/>
          <w:iCs/>
        </w:rPr>
        <w:t>Custodial Credit Risk</w:t>
      </w:r>
      <w:r w:rsidRPr="005A31CF">
        <w:rPr>
          <w:rFonts w:ascii="Arial" w:eastAsia="Times New Roman" w:hAnsi="Arial" w:cs="Arial"/>
          <w:iCs/>
        </w:rPr>
        <w:t xml:space="preserve">: </w:t>
      </w:r>
      <w:r w:rsidRPr="005A31CF">
        <w:rPr>
          <w:rFonts w:ascii="Arial" w:eastAsia="Times New Roman" w:hAnsi="Arial" w:cs="Arial"/>
        </w:rPr>
        <w:t xml:space="preserve">For an investment, custodial credit risk is the risk that, in the event of the failure of the counterparty, the College will not be able to recover the value of its investments or collateral securities that are in the possession of an outside party. The College does not have a formal policy for custodial credit risk. The College’s investments were exposed to custodial credit risk as follows: </w:t>
      </w:r>
      <w:r w:rsidRPr="005A31CF">
        <w:rPr>
          <w:rFonts w:ascii="Arial" w:eastAsia="Times New Roman" w:hAnsi="Arial" w:cs="Arial"/>
          <w:b/>
          <w:i/>
          <w:iCs/>
          <w:color w:val="0000FF"/>
        </w:rPr>
        <w:t>[Modify as necessary.]</w:t>
      </w:r>
    </w:p>
    <w:bookmarkStart w:id="78" w:name="_MON_1368343730"/>
    <w:bookmarkStart w:id="79" w:name="_MON_1370756154"/>
    <w:bookmarkStart w:id="80" w:name="_MON_1375523573"/>
    <w:bookmarkStart w:id="81" w:name="_MON_1402726147"/>
    <w:bookmarkStart w:id="82" w:name="_MON_1188191873"/>
    <w:bookmarkStart w:id="83" w:name="_MON_1188192048"/>
    <w:bookmarkStart w:id="84" w:name="_MON_1188192407"/>
    <w:bookmarkStart w:id="85" w:name="_MON_1188195050"/>
    <w:bookmarkStart w:id="86" w:name="_MON_1188198445"/>
    <w:bookmarkStart w:id="87" w:name="_MON_1188198467"/>
    <w:bookmarkStart w:id="88" w:name="_MON_1188198490"/>
    <w:bookmarkStart w:id="89" w:name="_MON_1286714108"/>
    <w:bookmarkStart w:id="90" w:name="_MON_1286714113"/>
    <w:bookmarkStart w:id="91" w:name="_MON_1286714153"/>
    <w:bookmarkEnd w:id="78"/>
    <w:bookmarkEnd w:id="79"/>
    <w:bookmarkEnd w:id="80"/>
    <w:bookmarkEnd w:id="81"/>
    <w:bookmarkEnd w:id="82"/>
    <w:bookmarkEnd w:id="83"/>
    <w:bookmarkEnd w:id="84"/>
    <w:bookmarkEnd w:id="85"/>
    <w:bookmarkEnd w:id="86"/>
    <w:bookmarkEnd w:id="87"/>
    <w:bookmarkEnd w:id="88"/>
    <w:bookmarkEnd w:id="89"/>
    <w:bookmarkEnd w:id="90"/>
    <w:bookmarkEnd w:id="91"/>
    <w:bookmarkStart w:id="92" w:name="_MON_1286773023"/>
    <w:bookmarkEnd w:id="92"/>
    <w:p w14:paraId="0D82E41E" w14:textId="77777777" w:rsidR="005558B6" w:rsidRPr="005A31CF" w:rsidRDefault="005558B6" w:rsidP="00A66832">
      <w:pPr>
        <w:spacing w:after="240" w:line="240" w:lineRule="auto"/>
        <w:ind w:left="360"/>
        <w:jc w:val="center"/>
        <w:rPr>
          <w:rFonts w:ascii="Arial" w:eastAsia="Times New Roman" w:hAnsi="Arial" w:cs="Arial"/>
        </w:rPr>
      </w:pPr>
      <w:r w:rsidRPr="005A31CF">
        <w:rPr>
          <w:rFonts w:ascii="Arial" w:eastAsia="Times New Roman" w:hAnsi="Arial" w:cs="Arial"/>
        </w:rPr>
        <w:object w:dxaOrig="6858" w:dyaOrig="2922" w14:anchorId="65C49AFF">
          <v:shape id="_x0000_i1029" type="#_x0000_t75" style="width:309.75pt;height:129.75pt" o:ole="">
            <v:imagedata r:id="rId22" o:title=""/>
          </v:shape>
          <o:OLEObject Type="Embed" ProgID="Excel.Sheet.12" ShapeID="_x0000_i1029" DrawAspect="Content" ObjectID="_1721553174" r:id="rId23"/>
        </w:object>
      </w:r>
    </w:p>
    <w:p w14:paraId="717600AD" w14:textId="7BAAF5C1" w:rsidR="005558B6" w:rsidRPr="005A31CF" w:rsidRDefault="005558B6" w:rsidP="00A66832">
      <w:pPr>
        <w:spacing w:after="240" w:line="240" w:lineRule="auto"/>
        <w:ind w:left="360"/>
        <w:jc w:val="both"/>
        <w:rPr>
          <w:rFonts w:ascii="Arial" w:eastAsia="Times New Roman" w:hAnsi="Arial" w:cs="Arial"/>
        </w:rPr>
      </w:pPr>
      <w:r w:rsidRPr="005A31CF">
        <w:rPr>
          <w:rFonts w:ascii="Arial" w:eastAsia="Times New Roman" w:hAnsi="Arial" w:cs="Arial"/>
          <w:i/>
          <w:iCs/>
        </w:rPr>
        <w:t>Concentration of Credit Risk</w:t>
      </w:r>
      <w:r w:rsidRPr="005A31CF">
        <w:rPr>
          <w:rFonts w:ascii="Arial" w:eastAsia="Times New Roman" w:hAnsi="Arial" w:cs="Arial"/>
          <w:iCs/>
        </w:rPr>
        <w:t xml:space="preserve">: Concentration of credit risk is the risk of loss attributable to the magnitude of an investment in a single issuer. </w:t>
      </w:r>
      <w:r w:rsidRPr="005A31CF">
        <w:rPr>
          <w:rFonts w:ascii="Arial" w:eastAsia="Times New Roman" w:hAnsi="Arial" w:cs="Arial"/>
        </w:rPr>
        <w:t xml:space="preserve">The College places no limit on the amount that may be invested in any one issuer. More than 5% of the College’s investments are in _______ and _______. These investments are ___% and ___%, respectively, of </w:t>
      </w:r>
      <w:r w:rsidR="00731203" w:rsidRPr="00731203">
        <w:rPr>
          <w:rFonts w:ascii="Arial" w:eastAsia="Times New Roman" w:hAnsi="Arial" w:cs="Arial"/>
          <w:highlight w:val="yellow"/>
        </w:rPr>
        <w:t>the</w:t>
      </w:r>
      <w:r w:rsidR="00731203">
        <w:rPr>
          <w:rFonts w:ascii="Arial" w:eastAsia="Times New Roman" w:hAnsi="Arial" w:cs="Arial"/>
        </w:rPr>
        <w:t xml:space="preserve"> </w:t>
      </w:r>
      <w:r w:rsidRPr="005A31CF">
        <w:rPr>
          <w:rFonts w:ascii="Arial" w:eastAsia="Times New Roman" w:hAnsi="Arial" w:cs="Arial"/>
        </w:rPr>
        <w:t xml:space="preserve">College’s investments. </w:t>
      </w:r>
      <w:r w:rsidRPr="005A31CF">
        <w:rPr>
          <w:rFonts w:ascii="Arial" w:eastAsia="Times New Roman" w:hAnsi="Arial" w:cs="Arial"/>
          <w:b/>
          <w:i/>
          <w:iCs/>
          <w:color w:val="0000FF"/>
        </w:rPr>
        <w:t>[Modify as necessary.]</w:t>
      </w:r>
    </w:p>
    <w:p w14:paraId="5704EC60" w14:textId="77777777" w:rsidR="005558B6" w:rsidRPr="005A31CF" w:rsidRDefault="005558B6" w:rsidP="00A66832">
      <w:pPr>
        <w:spacing w:after="240" w:line="240" w:lineRule="auto"/>
        <w:ind w:left="360"/>
        <w:jc w:val="both"/>
        <w:rPr>
          <w:rFonts w:ascii="Arial" w:eastAsia="Times New Roman" w:hAnsi="Arial" w:cs="Arial"/>
          <w:b/>
          <w:bCs/>
          <w:i/>
          <w:iCs/>
          <w:color w:val="0000FF"/>
        </w:rPr>
      </w:pPr>
      <w:r w:rsidRPr="005A31CF">
        <w:rPr>
          <w:rFonts w:ascii="Arial" w:eastAsia="Times New Roman" w:hAnsi="Arial" w:cs="Arial"/>
          <w:i/>
          <w:iCs/>
        </w:rPr>
        <w:t>Foreign Currency Risk</w:t>
      </w:r>
      <w:r w:rsidRPr="005A31CF">
        <w:rPr>
          <w:rFonts w:ascii="Arial" w:eastAsia="Times New Roman" w:hAnsi="Arial" w:cs="Arial"/>
          <w:iCs/>
        </w:rPr>
        <w:t xml:space="preserve">: </w:t>
      </w:r>
      <w:r w:rsidRPr="005A31CF">
        <w:rPr>
          <w:rFonts w:ascii="Arial" w:eastAsia="Times New Roman" w:hAnsi="Arial" w:cs="Arial"/>
        </w:rPr>
        <w:t xml:space="preserve">Foreign currency risk is defined by GASB Statement No. 40 as the risk that changes in exchange rates will adversely affect the value of an investment. </w:t>
      </w:r>
      <w:r w:rsidRPr="005A31CF">
        <w:rPr>
          <w:rFonts w:ascii="Arial" w:eastAsia="Times New Roman" w:hAnsi="Arial" w:cs="Arial"/>
          <w:b/>
          <w:i/>
          <w:color w:val="0000FF"/>
        </w:rPr>
        <w:t>[If no policy:</w:t>
      </w:r>
      <w:r w:rsidRPr="005A31CF">
        <w:rPr>
          <w:rFonts w:ascii="Arial" w:eastAsia="Times New Roman" w:hAnsi="Arial" w:cs="Arial"/>
        </w:rPr>
        <w:t xml:space="preserve"> The College does not have a formal policy for foreign currency risk.</w:t>
      </w:r>
      <w:r w:rsidRPr="005A31CF">
        <w:rPr>
          <w:rFonts w:ascii="Arial" w:eastAsia="Times New Roman" w:hAnsi="Arial" w:cs="Arial"/>
          <w:b/>
          <w:i/>
          <w:color w:val="0000FF"/>
        </w:rPr>
        <w:t>]</w:t>
      </w:r>
      <w:r w:rsidRPr="005A31CF">
        <w:rPr>
          <w:rFonts w:ascii="Arial" w:eastAsia="Times New Roman" w:hAnsi="Arial" w:cs="Arial"/>
        </w:rPr>
        <w:t xml:space="preserve"> </w:t>
      </w:r>
      <w:r w:rsidRPr="005A31CF">
        <w:rPr>
          <w:rFonts w:ascii="Arial" w:eastAsia="Times New Roman" w:hAnsi="Arial" w:cs="Arial"/>
          <w:b/>
          <w:i/>
          <w:color w:val="0000FF"/>
        </w:rPr>
        <w:t>OR</w:t>
      </w:r>
      <w:r w:rsidRPr="005A31CF">
        <w:rPr>
          <w:rFonts w:ascii="Arial" w:eastAsia="Times New Roman" w:hAnsi="Arial" w:cs="Arial"/>
        </w:rPr>
        <w:t xml:space="preserve"> </w:t>
      </w:r>
      <w:r w:rsidRPr="005A31CF">
        <w:rPr>
          <w:rFonts w:ascii="Arial" w:eastAsia="Times New Roman" w:hAnsi="Arial" w:cs="Arial"/>
          <w:b/>
          <w:i/>
          <w:color w:val="0000FF"/>
        </w:rPr>
        <w:t>[If policy:</w:t>
      </w:r>
      <w:r w:rsidRPr="005A31CF">
        <w:rPr>
          <w:rFonts w:ascii="Arial" w:eastAsia="Times New Roman" w:hAnsi="Arial" w:cs="Arial"/>
        </w:rPr>
        <w:t xml:space="preserve"> </w:t>
      </w:r>
      <w:r w:rsidRPr="005A31CF">
        <w:rPr>
          <w:rFonts w:ascii="Arial" w:eastAsia="Times New Roman" w:hAnsi="Arial" w:cs="Arial"/>
          <w:bCs/>
        </w:rPr>
        <w:t>The College’s investment policy permits it to invest up to ___% in foreign currency - ______. The College’s current position is ___%.</w:t>
      </w:r>
      <w:r w:rsidRPr="005A31CF">
        <w:rPr>
          <w:rFonts w:ascii="Arial" w:eastAsia="Times New Roman" w:hAnsi="Arial" w:cs="Arial"/>
          <w:b/>
          <w:bCs/>
          <w:i/>
          <w:color w:val="0000FF"/>
        </w:rPr>
        <w:t>]</w:t>
      </w:r>
      <w:r w:rsidRPr="005A31CF">
        <w:rPr>
          <w:rFonts w:ascii="Arial" w:eastAsia="Times New Roman" w:hAnsi="Arial" w:cs="Arial"/>
          <w:bCs/>
        </w:rPr>
        <w:t xml:space="preserve"> The College recognized an aggregate foreign currency transaction </w:t>
      </w:r>
      <w:r w:rsidRPr="005A31CF">
        <w:rPr>
          <w:rFonts w:ascii="Arial" w:eastAsia="Times New Roman" w:hAnsi="Arial" w:cs="Arial"/>
          <w:b/>
          <w:bCs/>
          <w:i/>
          <w:color w:val="3333FF"/>
        </w:rPr>
        <w:t>[gain/loss]</w:t>
      </w:r>
      <w:r w:rsidRPr="005A31CF">
        <w:rPr>
          <w:rFonts w:ascii="Arial" w:eastAsia="Times New Roman" w:hAnsi="Arial" w:cs="Arial"/>
          <w:bCs/>
        </w:rPr>
        <w:t xml:space="preserve"> of $_______ for the</w:t>
      </w:r>
      <w:r>
        <w:rPr>
          <w:rFonts w:ascii="Arial" w:eastAsia="Times New Roman" w:hAnsi="Arial" w:cs="Arial"/>
          <w:bCs/>
        </w:rPr>
        <w:t xml:space="preserve"> fiscal year ended June 30, 2022</w:t>
      </w:r>
      <w:r w:rsidRPr="005A31CF">
        <w:rPr>
          <w:rFonts w:ascii="Arial" w:eastAsia="Times New Roman" w:hAnsi="Arial" w:cs="Arial"/>
          <w:bCs/>
        </w:rPr>
        <w:t xml:space="preserve">. Transaction gains or losses result from a change in exchange rates between the U.S. Dollar and the currency in which a foreign currency transaction is denominated. </w:t>
      </w:r>
      <w:r w:rsidRPr="005A31CF">
        <w:rPr>
          <w:rFonts w:ascii="Arial" w:eastAsia="Times New Roman" w:hAnsi="Arial" w:cs="Arial"/>
        </w:rPr>
        <w:t xml:space="preserve">The </w:t>
      </w:r>
      <w:r w:rsidRPr="005A31CF">
        <w:rPr>
          <w:rFonts w:ascii="Arial" w:eastAsia="Times New Roman" w:hAnsi="Arial" w:cs="Arial"/>
        </w:rPr>
        <w:lastRenderedPageBreak/>
        <w:t>College’s exposure to foreign currency risk for their investments is as follows:</w:t>
      </w:r>
      <w:r w:rsidRPr="005A31CF">
        <w:rPr>
          <w:rFonts w:ascii="Arial" w:eastAsia="Times New Roman" w:hAnsi="Arial" w:cs="Arial"/>
          <w:b/>
          <w:bCs/>
          <w:i/>
          <w:iCs/>
          <w:color w:val="0000FF"/>
        </w:rPr>
        <w:t xml:space="preserve"> [See GASB 40 illustration for further information.</w:t>
      </w:r>
      <w:r>
        <w:rPr>
          <w:rFonts w:ascii="Arial" w:eastAsia="Times New Roman" w:hAnsi="Arial" w:cs="Arial"/>
          <w:b/>
          <w:bCs/>
          <w:i/>
          <w:iCs/>
          <w:color w:val="0000FF"/>
        </w:rPr>
        <w:t xml:space="preserve"> </w:t>
      </w:r>
      <w:r w:rsidRPr="00F34E2E">
        <w:rPr>
          <w:rFonts w:ascii="Arial" w:eastAsia="Times New Roman" w:hAnsi="Arial" w:cs="Arial"/>
          <w:b/>
          <w:i/>
          <w:iCs/>
          <w:color w:val="0000FF"/>
        </w:rPr>
        <w:t>Per GASB Implementation Guide 2018-1 question 5.1, foreign curren</w:t>
      </w:r>
      <w:r>
        <w:rPr>
          <w:rFonts w:ascii="Arial" w:eastAsia="Times New Roman" w:hAnsi="Arial" w:cs="Arial"/>
          <w:b/>
          <w:i/>
          <w:iCs/>
          <w:color w:val="0000FF"/>
        </w:rPr>
        <w:t>cy</w:t>
      </w:r>
      <w:r w:rsidRPr="00F34E2E">
        <w:rPr>
          <w:rFonts w:ascii="Arial" w:eastAsia="Times New Roman" w:hAnsi="Arial" w:cs="Arial"/>
          <w:b/>
          <w:i/>
          <w:iCs/>
          <w:color w:val="0000FF"/>
        </w:rPr>
        <w:t xml:space="preserve"> risk only applies if the entity has investments denominated in foreign currency. Disclosure requirements do not apply to foreign investments held by investment funds that are U.S. dollar denominated.</w:t>
      </w:r>
      <w:r w:rsidRPr="00E7264A">
        <w:rPr>
          <w:rFonts w:ascii="Arial" w:eastAsia="Times New Roman" w:hAnsi="Arial" w:cs="Arial"/>
          <w:b/>
          <w:bCs/>
          <w:i/>
          <w:iCs/>
          <w:color w:val="0000FF"/>
        </w:rPr>
        <w:t>]</w:t>
      </w:r>
    </w:p>
    <w:bookmarkStart w:id="93" w:name="_MON_1286714198"/>
    <w:bookmarkStart w:id="94" w:name="_MON_1286714208"/>
    <w:bookmarkStart w:id="95" w:name="_MON_1286714238"/>
    <w:bookmarkStart w:id="96" w:name="_MON_1286714246"/>
    <w:bookmarkStart w:id="97" w:name="_MON_1286714261"/>
    <w:bookmarkStart w:id="98" w:name="_MON_1286714278"/>
    <w:bookmarkStart w:id="99" w:name="_MON_1286773061"/>
    <w:bookmarkStart w:id="100" w:name="_MON_1286773074"/>
    <w:bookmarkStart w:id="101" w:name="_MON_1368343731"/>
    <w:bookmarkStart w:id="102" w:name="_MON_1370756295"/>
    <w:bookmarkStart w:id="103" w:name="_MON_1375523661"/>
    <w:bookmarkStart w:id="104" w:name="_MON_1402726155"/>
    <w:bookmarkStart w:id="105" w:name="_MON_1188191991"/>
    <w:bookmarkStart w:id="106" w:name="_MON_1188192071"/>
    <w:bookmarkStart w:id="107" w:name="_MON_118819239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08" w:name="_MON_1188195041"/>
    <w:bookmarkEnd w:id="108"/>
    <w:p w14:paraId="72ECFEB5" w14:textId="77777777" w:rsidR="005558B6" w:rsidRPr="005A31CF" w:rsidRDefault="005558B6" w:rsidP="00A66832">
      <w:pPr>
        <w:spacing w:after="240" w:line="240" w:lineRule="auto"/>
        <w:ind w:left="360"/>
        <w:jc w:val="center"/>
        <w:rPr>
          <w:rFonts w:ascii="Arial" w:eastAsia="Times New Roman" w:hAnsi="Arial" w:cs="Arial"/>
        </w:rPr>
      </w:pPr>
      <w:r w:rsidRPr="005A31CF">
        <w:rPr>
          <w:rFonts w:ascii="Arial" w:eastAsia="Times New Roman" w:hAnsi="Arial" w:cs="Arial"/>
        </w:rPr>
        <w:object w:dxaOrig="6829" w:dyaOrig="2461" w14:anchorId="427B0300">
          <v:shape id="_x0000_i1030" type="#_x0000_t75" style="width:309pt;height:115.5pt" o:ole="">
            <v:imagedata r:id="rId24" o:title=""/>
          </v:shape>
          <o:OLEObject Type="Embed" ProgID="Excel.Sheet.12" ShapeID="_x0000_i1030" DrawAspect="Content" ObjectID="_1721553175" r:id="rId25"/>
        </w:object>
      </w:r>
    </w:p>
    <w:p w14:paraId="08F44BCF" w14:textId="77777777" w:rsidR="005558B6" w:rsidRPr="005A31CF" w:rsidRDefault="005558B6" w:rsidP="00A66832">
      <w:pPr>
        <w:spacing w:after="240" w:line="240" w:lineRule="auto"/>
        <w:ind w:left="360"/>
        <w:jc w:val="both"/>
        <w:rPr>
          <w:rFonts w:ascii="Arial" w:eastAsia="Times New Roman" w:hAnsi="Arial" w:cs="Arial"/>
          <w:i/>
          <w:color w:val="0000FF"/>
        </w:rPr>
      </w:pPr>
      <w:r w:rsidRPr="005A31CF">
        <w:rPr>
          <w:rFonts w:ascii="Arial" w:eastAsia="Times New Roman" w:hAnsi="Arial" w:cs="Arial"/>
          <w:b/>
          <w:i/>
          <w:color w:val="0000FF"/>
        </w:rPr>
        <w:t>[For discretely presented component units with material investments not invested with the college – disclosure may be required. See GASB 61 paragraph 11b for further guidance.]</w:t>
      </w:r>
    </w:p>
    <w:p w14:paraId="1F0D06F6" w14:textId="77777777" w:rsidR="005558B6" w:rsidRPr="005A31CF" w:rsidRDefault="005558B6" w:rsidP="00A66832">
      <w:pPr>
        <w:spacing w:after="240" w:line="240" w:lineRule="auto"/>
        <w:ind w:left="360"/>
        <w:jc w:val="both"/>
        <w:rPr>
          <w:rFonts w:ascii="Arial" w:eastAsia="Times New Roman" w:hAnsi="Arial" w:cs="Arial"/>
          <w:b/>
          <w:i/>
          <w:color w:val="0000FF"/>
        </w:rPr>
      </w:pPr>
      <w:r w:rsidRPr="005A31CF">
        <w:rPr>
          <w:rFonts w:ascii="Arial" w:eastAsia="Times New Roman" w:hAnsi="Arial" w:cs="Arial"/>
          <w:b/>
        </w:rPr>
        <w:t>Component Unit</w:t>
      </w:r>
      <w:r>
        <w:rPr>
          <w:rFonts w:ascii="Arial" w:eastAsia="Times New Roman" w:hAnsi="Arial" w:cs="Arial"/>
          <w:b/>
        </w:rPr>
        <w:t>(</w:t>
      </w:r>
      <w:r w:rsidRPr="005A31CF">
        <w:rPr>
          <w:rFonts w:ascii="Arial" w:eastAsia="Times New Roman" w:hAnsi="Arial" w:cs="Arial"/>
          <w:b/>
        </w:rPr>
        <w:t>s</w:t>
      </w:r>
      <w:r>
        <w:rPr>
          <w:rFonts w:ascii="Arial" w:eastAsia="Times New Roman" w:hAnsi="Arial" w:cs="Arial"/>
          <w:b/>
        </w:rPr>
        <w:t>)</w:t>
      </w:r>
      <w:r w:rsidRPr="005A31CF">
        <w:rPr>
          <w:rFonts w:ascii="Arial" w:eastAsia="Times New Roman" w:hAnsi="Arial" w:cs="Arial"/>
          <w:b/>
        </w:rPr>
        <w:t xml:space="preserve">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Investments of the College’s discretely presented component unit(s), </w:t>
      </w:r>
      <w:r w:rsidRPr="005A31CF">
        <w:rPr>
          <w:rFonts w:ascii="Arial" w:eastAsia="Times New Roman" w:hAnsi="Arial" w:cs="Arial"/>
          <w:b/>
          <w:color w:val="0000FF"/>
        </w:rPr>
        <w:t>[the Foundation]</w:t>
      </w:r>
      <w:r w:rsidRPr="00037E0C">
        <w:rPr>
          <w:rFonts w:ascii="Arial" w:eastAsia="Times New Roman" w:hAnsi="Arial" w:cs="Arial"/>
        </w:rPr>
        <w:t>,</w:t>
      </w:r>
      <w:r w:rsidRPr="005A31CF">
        <w:rPr>
          <w:rFonts w:ascii="Arial" w:eastAsia="Times New Roman" w:hAnsi="Arial" w:cs="Arial"/>
        </w:rPr>
        <w:t xml:space="preserve"> are subject to and restricted by G.S. 36E Uniform Prudent Management of Institutional Funds Act (UPMIFA) and any requirements placed on them by contract or donor agreements. Because the </w:t>
      </w:r>
      <w:r w:rsidRPr="005A31CF">
        <w:rPr>
          <w:rFonts w:ascii="Arial" w:eastAsia="Times New Roman" w:hAnsi="Arial" w:cs="Arial"/>
          <w:b/>
          <w:color w:val="0000FF"/>
        </w:rPr>
        <w:t>[Foundation]</w:t>
      </w:r>
      <w:r w:rsidRPr="005A31CF">
        <w:rPr>
          <w:rFonts w:ascii="Arial" w:eastAsia="Times New Roman" w:hAnsi="Arial" w:cs="Arial"/>
        </w:rPr>
        <w:t xml:space="preserve"> report</w:t>
      </w:r>
      <w:r w:rsidRPr="005A31CF">
        <w:rPr>
          <w:rFonts w:ascii="Arial" w:eastAsia="Times New Roman" w:hAnsi="Arial" w:cs="Arial"/>
          <w:i/>
        </w:rPr>
        <w:t xml:space="preserve">(s) </w:t>
      </w:r>
      <w:r w:rsidRPr="005A31CF">
        <w:rPr>
          <w:rFonts w:ascii="Arial" w:eastAsia="Times New Roman" w:hAnsi="Arial" w:cs="Arial"/>
        </w:rPr>
        <w:t xml:space="preserve">under the FASB reporting model, disclosures of the various investment risks are not required. The following is an analysis of investments by type: </w:t>
      </w:r>
      <w:r w:rsidRPr="005A31CF">
        <w:rPr>
          <w:rFonts w:ascii="Arial" w:eastAsia="Times New Roman" w:hAnsi="Arial" w:cs="Arial"/>
          <w:b/>
          <w:i/>
          <w:color w:val="0000FF"/>
        </w:rPr>
        <w:t>[Provide disclosures as necessary based on audit report for foundation.]</w:t>
      </w:r>
    </w:p>
    <w:p w14:paraId="51D0DF23" w14:textId="77777777" w:rsidR="005558B6" w:rsidRPr="00064FE9" w:rsidRDefault="005558B6" w:rsidP="00A66832">
      <w:pPr>
        <w:tabs>
          <w:tab w:val="left" w:pos="1530"/>
        </w:tabs>
        <w:spacing w:after="240" w:line="240" w:lineRule="auto"/>
        <w:ind w:left="360" w:hanging="25"/>
        <w:jc w:val="both"/>
        <w:rPr>
          <w:rFonts w:ascii="Arial" w:eastAsia="Times New Roman" w:hAnsi="Arial" w:cs="Arial"/>
          <w:b/>
          <w:i/>
          <w:color w:val="0000FF"/>
        </w:rPr>
      </w:pPr>
      <w:r w:rsidRPr="00F34E2E" w:rsidDel="00841B63">
        <w:rPr>
          <w:rFonts w:ascii="Arial" w:eastAsia="Times New Roman" w:hAnsi="Arial" w:cs="Arial"/>
          <w:b/>
          <w:bCs/>
          <w:i/>
          <w:color w:val="0000FF"/>
        </w:rPr>
        <w:t xml:space="preserve"> </w:t>
      </w:r>
      <w:bookmarkStart w:id="109" w:name="_MON_1188198392"/>
      <w:bookmarkStart w:id="110" w:name="_MON_1188198513"/>
      <w:bookmarkStart w:id="111" w:name="_MON_1199876464"/>
      <w:bookmarkStart w:id="112" w:name="_MON_1199876547"/>
      <w:bookmarkStart w:id="113" w:name="_MON_1286714309"/>
      <w:bookmarkStart w:id="114" w:name="_MON_1286773099"/>
      <w:bookmarkStart w:id="115" w:name="_MON_1368343733"/>
      <w:bookmarkStart w:id="116" w:name="_MON_1370756345"/>
      <w:bookmarkStart w:id="117" w:name="_MON_1401871004"/>
      <w:bookmarkStart w:id="118" w:name="_MON_1402726161"/>
      <w:bookmarkStart w:id="119" w:name="_MON_1402726256"/>
      <w:bookmarkStart w:id="120" w:name="_MON_1402726298"/>
      <w:bookmarkStart w:id="121" w:name="_MON_1402726314"/>
      <w:bookmarkStart w:id="122" w:name="_MON_1420464011"/>
      <w:bookmarkStart w:id="123" w:name="_MON_1182854029"/>
      <w:bookmarkStart w:id="124" w:name="_MON_1182855527"/>
      <w:bookmarkStart w:id="125" w:name="_MON_1182855608"/>
      <w:bookmarkStart w:id="126" w:name="_MON_1188190972"/>
      <w:bookmarkStart w:id="127" w:name="_MON_1188190990"/>
      <w:bookmarkStart w:id="128" w:name="_MON_1188191002"/>
      <w:bookmarkStart w:id="129" w:name="_MON_1188191543"/>
      <w:bookmarkStart w:id="130" w:name="_MON_118819165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3F5257">
        <w:rPr>
          <w:rFonts w:ascii="Arial" w:eastAsia="Times New Roman" w:hAnsi="Arial" w:cs="Arial"/>
          <w:b/>
          <w:i/>
          <w:color w:val="0000FF"/>
        </w:rPr>
        <w:t>[Note to Preparer: If an external investment pool meets the criteria in GASB 79 and measures all of its investments at amortized cost, the pool’s participants also should measure their investments in that external investment pool at amortized cost for financial reporting purposes. GASB 79 ¶42 establishes additional note disclosure requirements for qualifying external investment pools that measure all of its investments at amortized cost and for governments that participate in those pools. Information about any limitations or restrictions on participant withdrawals should be disclosed. These disclosures are in addition to existing disclosure requirements for external investment pools.]</w:t>
      </w:r>
    </w:p>
    <w:p w14:paraId="550D1E66" w14:textId="77777777" w:rsidR="005558B6" w:rsidRPr="00A66832" w:rsidRDefault="005558B6" w:rsidP="005D46CC">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3</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Fair Value Measurements</w:t>
      </w:r>
    </w:p>
    <w:p w14:paraId="73542357" w14:textId="77777777" w:rsidR="005558B6" w:rsidRPr="003F5257" w:rsidRDefault="005558B6" w:rsidP="00A66832">
      <w:pPr>
        <w:spacing w:after="240" w:line="240" w:lineRule="auto"/>
        <w:jc w:val="both"/>
        <w:rPr>
          <w:rFonts w:ascii="Arial Bold" w:hAnsi="Arial Bold" w:cs="Arial"/>
          <w:b/>
          <w:smallCaps/>
        </w:rPr>
      </w:pPr>
      <w:r w:rsidRPr="00FF7A47">
        <w:rPr>
          <w:rFonts w:ascii="Arial" w:eastAsia="Times New Roman" w:hAnsi="Arial" w:cs="Arial"/>
          <w:b/>
          <w:i/>
          <w:color w:val="0000FF"/>
        </w:rPr>
        <w:t xml:space="preserve">[If the College has discretely presented component units with a material fair value disclosure </w:t>
      </w:r>
      <w:r w:rsidRPr="00FF7A47">
        <w:rPr>
          <w:rFonts w:ascii="Arial" w:eastAsia="Times New Roman" w:hAnsi="Arial" w:cs="Arial"/>
          <w:i/>
          <w:color w:val="0000FF"/>
        </w:rPr>
        <w:t>-</w:t>
      </w:r>
      <w:r w:rsidRPr="00FF7A47">
        <w:rPr>
          <w:rFonts w:ascii="Arial" w:eastAsia="Times New Roman" w:hAnsi="Arial" w:cs="Arial"/>
          <w:b/>
          <w:i/>
          <w:color w:val="0000FF"/>
        </w:rPr>
        <w:t xml:space="preserve"> then additional disclosure is necessary and the College fair value note will be one part of the note and the component unit will be another. If not, delete the “College” bold below and make all one note.]</w:t>
      </w:r>
    </w:p>
    <w:p w14:paraId="7DDCBD35" w14:textId="77777777" w:rsidR="005558B6" w:rsidRPr="003F5257" w:rsidRDefault="005558B6" w:rsidP="00A66832">
      <w:pPr>
        <w:spacing w:after="240" w:line="240" w:lineRule="auto"/>
        <w:jc w:val="both"/>
        <w:rPr>
          <w:rFonts w:ascii="Arial" w:hAnsi="Arial" w:cs="Arial"/>
        </w:rPr>
      </w:pPr>
      <w:r w:rsidRPr="00F34E2E">
        <w:rPr>
          <w:rFonts w:ascii="Arial Bold" w:hAnsi="Arial Bold" w:cs="Arial"/>
          <w:b/>
        </w:rPr>
        <w:t>College</w:t>
      </w:r>
      <w:r>
        <w:rPr>
          <w:rFonts w:ascii="Arial" w:hAnsi="Arial" w:cs="Arial"/>
        </w:rPr>
        <w:t xml:space="preserve"> - </w:t>
      </w:r>
      <w:r w:rsidRPr="003F5257">
        <w:rPr>
          <w:rFonts w:ascii="Arial" w:hAnsi="Arial" w:cs="Arial"/>
        </w:rPr>
        <w:t>To the extent available, the College’s investments are recorded a</w:t>
      </w:r>
      <w:r>
        <w:rPr>
          <w:rFonts w:ascii="Arial" w:hAnsi="Arial" w:cs="Arial"/>
        </w:rPr>
        <w:t>t fair value as of June 30, 2022</w:t>
      </w:r>
      <w:r w:rsidRPr="003F5257">
        <w:rPr>
          <w:rFonts w:ascii="Arial" w:hAnsi="Arial" w:cs="Arial"/>
        </w:rPr>
        <w:t xml:space="preserve">. GASB Statement No. 72, </w:t>
      </w:r>
      <w:r w:rsidRPr="003F5257">
        <w:rPr>
          <w:rFonts w:ascii="Arial" w:hAnsi="Arial" w:cs="Arial"/>
          <w:i/>
        </w:rPr>
        <w:t>Fair Value Measurement and Application</w:t>
      </w:r>
      <w:r w:rsidRPr="003F5257">
        <w:rPr>
          <w:rFonts w:ascii="Arial" w:hAnsi="Arial" w:cs="Arial"/>
        </w:rPr>
        <w:t xml:space="preserve">, defines fair value as the price that would be received to sell an asset or paid to transfer a liability in an orderly transaction between market participants at the measurement date. This statement establishes a hierarchy of valuation inputs based on the extent to which the inputs are </w:t>
      </w:r>
      <w:r w:rsidRPr="003F5257">
        <w:rPr>
          <w:rFonts w:ascii="Arial" w:hAnsi="Arial" w:cs="Arial"/>
        </w:rPr>
        <w:lastRenderedPageBreak/>
        <w:t xml:space="preserve">observable in the marketplace. Inputs are used in applying the various valuation techniques and take into account the assumptions that market participants use to make valuation decisions. Inputs may include price information, credit data, interest and yield curve data, and other factors specific to the financial instrument. Observable inputs reflect market data obtained from independent sources. In contrast, unobservable inputs reflect the entity’s assumptions about how market participants would value the financial instrument. Valuation techniques should maximize the use of observable inputs to the extent available. </w:t>
      </w:r>
    </w:p>
    <w:p w14:paraId="18539D28" w14:textId="77777777" w:rsidR="005558B6" w:rsidRPr="003F5257" w:rsidRDefault="005558B6" w:rsidP="00A66832">
      <w:pPr>
        <w:spacing w:after="240" w:line="240" w:lineRule="auto"/>
        <w:jc w:val="both"/>
        <w:rPr>
          <w:rFonts w:ascii="Arial" w:hAnsi="Arial" w:cs="Arial"/>
        </w:rPr>
      </w:pPr>
      <w:r w:rsidRPr="003F5257">
        <w:rPr>
          <w:rFonts w:ascii="Arial" w:hAnsi="Arial" w:cs="Arial"/>
        </w:rPr>
        <w:t>A financial instrument’s level within the fair value hierarchy is based on the lowest level of any input that is significant to the fair value measurement. The following describes the hierarchy of inputs used to measure fair value and the primary valuation methodologies used for financial instruments measured at fair value on a recurring basis:</w:t>
      </w:r>
    </w:p>
    <w:p w14:paraId="5AC0C798" w14:textId="77777777" w:rsidR="005558B6" w:rsidRPr="003F5257" w:rsidRDefault="005558B6" w:rsidP="00A66832">
      <w:pPr>
        <w:spacing w:after="240" w:line="240" w:lineRule="auto"/>
        <w:ind w:left="1800" w:hanging="1440"/>
        <w:jc w:val="both"/>
        <w:rPr>
          <w:rFonts w:ascii="Arial" w:hAnsi="Arial" w:cs="Arial"/>
        </w:rPr>
      </w:pPr>
      <w:r w:rsidRPr="003F5257">
        <w:rPr>
          <w:rFonts w:ascii="Arial" w:hAnsi="Arial" w:cs="Arial"/>
        </w:rPr>
        <w:t>Level 1</w:t>
      </w:r>
      <w:r w:rsidRPr="003F5257">
        <w:rPr>
          <w:rFonts w:ascii="Arial" w:hAnsi="Arial" w:cs="Arial"/>
        </w:rPr>
        <w:tab/>
        <w:t xml:space="preserve">Investments whose values are based on quoted prices (unadjusted) for identical assets </w:t>
      </w:r>
      <w:r w:rsidRPr="003F5257">
        <w:rPr>
          <w:rFonts w:ascii="Arial" w:hAnsi="Arial" w:cs="Arial"/>
          <w:color w:val="0000FF"/>
        </w:rPr>
        <w:t>(or</w:t>
      </w:r>
      <w:r w:rsidRPr="003F5257">
        <w:rPr>
          <w:rFonts w:ascii="Arial" w:hAnsi="Arial" w:cs="Arial"/>
        </w:rPr>
        <w:t xml:space="preserve"> </w:t>
      </w:r>
      <w:r w:rsidRPr="003F5257">
        <w:rPr>
          <w:rFonts w:ascii="Arial" w:hAnsi="Arial" w:cs="Arial"/>
          <w:color w:val="0000FF"/>
        </w:rPr>
        <w:t>liabilities)</w:t>
      </w:r>
      <w:r w:rsidRPr="003F5257">
        <w:rPr>
          <w:rFonts w:ascii="Arial" w:hAnsi="Arial" w:cs="Arial"/>
        </w:rPr>
        <w:t xml:space="preserve"> in active markets that a government can access at the measurement date. </w:t>
      </w:r>
    </w:p>
    <w:p w14:paraId="30B5F7AC" w14:textId="77777777" w:rsidR="005558B6" w:rsidRPr="003F5257" w:rsidRDefault="005558B6" w:rsidP="00A66832">
      <w:pPr>
        <w:spacing w:after="240" w:line="240" w:lineRule="auto"/>
        <w:ind w:left="1800" w:hanging="1440"/>
        <w:jc w:val="both"/>
        <w:rPr>
          <w:rFonts w:ascii="Arial" w:hAnsi="Arial" w:cs="Arial"/>
        </w:rPr>
      </w:pPr>
      <w:r w:rsidRPr="003F5257">
        <w:rPr>
          <w:rFonts w:ascii="Arial" w:hAnsi="Arial" w:cs="Arial"/>
        </w:rPr>
        <w:t>Level 2</w:t>
      </w:r>
      <w:r w:rsidRPr="003F5257">
        <w:rPr>
          <w:rFonts w:ascii="Arial" w:hAnsi="Arial" w:cs="Arial"/>
        </w:rPr>
        <w:tab/>
        <w:t xml:space="preserve">Investments with inputs – other than quoted prices included within Level 1 – that are observable for an asset </w:t>
      </w:r>
      <w:r w:rsidRPr="003F5257">
        <w:rPr>
          <w:rFonts w:ascii="Arial" w:hAnsi="Arial" w:cs="Arial"/>
          <w:color w:val="0000FF"/>
        </w:rPr>
        <w:t>(or liability)</w:t>
      </w:r>
      <w:r w:rsidRPr="003F5257">
        <w:rPr>
          <w:rFonts w:ascii="Arial" w:hAnsi="Arial" w:cs="Arial"/>
        </w:rPr>
        <w:t>, either directly or indirectly.</w:t>
      </w:r>
    </w:p>
    <w:p w14:paraId="4FEB5913" w14:textId="77777777" w:rsidR="005558B6" w:rsidRPr="003F5257" w:rsidRDefault="005558B6" w:rsidP="00A66832">
      <w:pPr>
        <w:spacing w:after="240" w:line="240" w:lineRule="auto"/>
        <w:ind w:left="1800" w:hanging="1440"/>
        <w:jc w:val="both"/>
        <w:rPr>
          <w:rFonts w:ascii="Arial" w:hAnsi="Arial" w:cs="Arial"/>
        </w:rPr>
      </w:pPr>
      <w:r w:rsidRPr="003F5257">
        <w:rPr>
          <w:rFonts w:ascii="Arial" w:hAnsi="Arial" w:cs="Arial"/>
        </w:rPr>
        <w:t>Level 3</w:t>
      </w:r>
      <w:r w:rsidRPr="003F5257">
        <w:rPr>
          <w:rFonts w:ascii="Arial" w:hAnsi="Arial" w:cs="Arial"/>
        </w:rPr>
        <w:tab/>
        <w:t xml:space="preserve">Investments classified as Level 3 have unobservable inputs and may require a degree of professional judgment. </w:t>
      </w:r>
    </w:p>
    <w:p w14:paraId="12C514B5" w14:textId="77777777" w:rsidR="005558B6" w:rsidRPr="003F5257" w:rsidRDefault="005558B6" w:rsidP="00A66832">
      <w:pPr>
        <w:spacing w:after="240" w:line="240" w:lineRule="auto"/>
        <w:jc w:val="both"/>
        <w:rPr>
          <w:rFonts w:ascii="Arial" w:hAnsi="Arial" w:cs="Arial"/>
          <w:b/>
          <w:i/>
          <w:color w:val="0000FF"/>
        </w:rPr>
      </w:pPr>
      <w:r w:rsidRPr="003F5257">
        <w:rPr>
          <w:rFonts w:ascii="Arial" w:hAnsi="Arial" w:cs="Arial"/>
          <w:b/>
          <w:i/>
          <w:color w:val="0000FF"/>
        </w:rPr>
        <w:t>[Note to Preparer: Remove reference to liabilities above if the College has no liabilities that are measured at fair value.]</w:t>
      </w:r>
    </w:p>
    <w:p w14:paraId="2DB81F53" w14:textId="77777777" w:rsidR="005558B6" w:rsidRPr="005A31CF" w:rsidRDefault="005558B6" w:rsidP="00A66832">
      <w:pPr>
        <w:tabs>
          <w:tab w:val="left" w:pos="1530"/>
        </w:tabs>
        <w:spacing w:after="240" w:line="240" w:lineRule="auto"/>
        <w:jc w:val="both"/>
        <w:rPr>
          <w:rFonts w:ascii="Arial" w:hAnsi="Arial" w:cs="Arial"/>
        </w:rPr>
      </w:pPr>
      <w:r w:rsidRPr="003F5257">
        <w:rPr>
          <w:rFonts w:ascii="Arial" w:hAnsi="Arial" w:cs="Arial"/>
        </w:rPr>
        <w:t xml:space="preserve">The following table summarizes the College’s investments, including the Short-Term Investment Fund, within the fair </w:t>
      </w:r>
      <w:r>
        <w:rPr>
          <w:rFonts w:ascii="Arial" w:hAnsi="Arial" w:cs="Arial"/>
        </w:rPr>
        <w:t>value hierarchy at June 30, 2022</w:t>
      </w:r>
      <w:r w:rsidRPr="003F5257">
        <w:rPr>
          <w:rFonts w:ascii="Arial" w:hAnsi="Arial" w:cs="Arial"/>
        </w:rPr>
        <w:t>:</w:t>
      </w:r>
    </w:p>
    <w:bookmarkStart w:id="131" w:name="_MON_1517141391"/>
    <w:bookmarkEnd w:id="131"/>
    <w:bookmarkStart w:id="132" w:name="_MON_1520083562"/>
    <w:bookmarkEnd w:id="132"/>
    <w:p w14:paraId="0B967624" w14:textId="77777777" w:rsidR="005558B6" w:rsidRPr="00064FE9" w:rsidRDefault="005558B6" w:rsidP="00A66832">
      <w:pPr>
        <w:spacing w:after="240" w:line="240" w:lineRule="auto"/>
        <w:jc w:val="center"/>
        <w:rPr>
          <w:rFonts w:ascii="Arial" w:hAnsi="Arial" w:cs="Arial"/>
        </w:rPr>
      </w:pPr>
      <w:r w:rsidRPr="00402FAE">
        <w:rPr>
          <w:rFonts w:ascii="Arial" w:eastAsia="Times New Roman" w:hAnsi="Arial" w:cs="Arial"/>
          <w:sz w:val="20"/>
          <w:szCs w:val="20"/>
        </w:rPr>
        <w:object w:dxaOrig="12375" w:dyaOrig="14649" w14:anchorId="042EF317">
          <v:shape id="_x0000_i1031" type="#_x0000_t75" style="width:6in;height:569.25pt" o:ole="">
            <v:imagedata r:id="rId26" o:title=""/>
          </v:shape>
          <o:OLEObject Type="Embed" ProgID="Excel.Sheet.12" ShapeID="_x0000_i1031" DrawAspect="Content" ObjectID="_1721553176" r:id="rId27"/>
        </w:object>
      </w:r>
    </w:p>
    <w:p w14:paraId="263F0564" w14:textId="63B01EB9" w:rsidR="005558B6" w:rsidRPr="00AC042E" w:rsidRDefault="005558B6" w:rsidP="00A66832">
      <w:pPr>
        <w:spacing w:after="240" w:line="240" w:lineRule="auto"/>
        <w:jc w:val="both"/>
        <w:rPr>
          <w:rFonts w:ascii="Arial" w:hAnsi="Arial" w:cs="Arial"/>
          <w:b/>
          <w:i/>
          <w:color w:val="0000FF"/>
        </w:rPr>
      </w:pPr>
      <w:r w:rsidRPr="00AC042E">
        <w:rPr>
          <w:rFonts w:ascii="Arial" w:hAnsi="Arial" w:cs="Arial"/>
          <w:b/>
          <w:i/>
          <w:color w:val="0000FF"/>
        </w:rPr>
        <w:t>Note to Preparer: See GASB Codification I50.109 through 126 for exceptions to fair value reporting.</w:t>
      </w:r>
    </w:p>
    <w:p w14:paraId="5ABE9DA6" w14:textId="77777777" w:rsidR="005558B6" w:rsidRPr="00F46A68" w:rsidRDefault="005558B6" w:rsidP="00A66832">
      <w:pPr>
        <w:spacing w:after="240" w:line="240" w:lineRule="auto"/>
        <w:jc w:val="both"/>
        <w:rPr>
          <w:rFonts w:ascii="Arial" w:hAnsi="Arial" w:cs="Arial"/>
          <w:b/>
        </w:rPr>
      </w:pPr>
      <w:r w:rsidRPr="00F46A68">
        <w:rPr>
          <w:rFonts w:ascii="Arial" w:hAnsi="Arial" w:cs="Arial"/>
          <w:b/>
        </w:rPr>
        <w:t xml:space="preserve">Short-Term Investment Fund </w:t>
      </w:r>
      <w:r w:rsidRPr="00F46A68">
        <w:rPr>
          <w:rFonts w:ascii="Arial" w:hAnsi="Arial" w:cs="Arial"/>
        </w:rPr>
        <w:t>-</w:t>
      </w:r>
      <w:r w:rsidRPr="00F46A68">
        <w:rPr>
          <w:rFonts w:ascii="Arial" w:hAnsi="Arial" w:cs="Arial"/>
          <w:b/>
        </w:rPr>
        <w:t xml:space="preserve"> </w:t>
      </w:r>
      <w:r w:rsidRPr="00F46A68">
        <w:rPr>
          <w:rFonts w:ascii="Arial" w:hAnsi="Arial" w:cs="Arial"/>
        </w:rPr>
        <w:t xml:space="preserve">At year-end, all of the College’s investments valued at $_____ were held in the STIF </w:t>
      </w:r>
      <w:r w:rsidRPr="00F46A68">
        <w:rPr>
          <w:rFonts w:ascii="Arial" w:hAnsi="Arial" w:cs="Arial"/>
          <w:color w:val="0000FF"/>
        </w:rPr>
        <w:t xml:space="preserve">(Note: only include the preceding sentence if the only investments of the </w:t>
      </w:r>
      <w:r w:rsidRPr="00F46A68">
        <w:rPr>
          <w:rFonts w:ascii="Arial" w:hAnsi="Arial" w:cs="Arial"/>
          <w:color w:val="0000FF"/>
        </w:rPr>
        <w:lastRenderedPageBreak/>
        <w:t>College are STIF. Remove FV table if that is all that is disclosed)</w:t>
      </w:r>
      <w:r w:rsidRPr="00F46A68">
        <w:rPr>
          <w:rFonts w:ascii="Arial" w:hAnsi="Arial" w:cs="Arial"/>
        </w:rPr>
        <w:t>.</w:t>
      </w:r>
      <w:r w:rsidRPr="00F46A68">
        <w:rPr>
          <w:rFonts w:ascii="Arial" w:hAnsi="Arial" w:cs="Arial"/>
          <w:b/>
          <w:bCs/>
        </w:rPr>
        <w:t xml:space="preserve"> </w:t>
      </w:r>
      <w:r w:rsidRPr="00F46A68">
        <w:rPr>
          <w:rFonts w:ascii="Arial" w:eastAsia="Times New Roman" w:hAnsi="Arial" w:cs="Arial"/>
        </w:rPr>
        <w:t>Ownership interest</w:t>
      </w:r>
      <w:r w:rsidRPr="00F34E2E">
        <w:rPr>
          <w:rFonts w:ascii="Arial" w:eastAsia="Times New Roman" w:hAnsi="Arial" w:cs="Arial"/>
        </w:rPr>
        <w:t>s</w:t>
      </w:r>
      <w:r w:rsidRPr="00F46A68">
        <w:rPr>
          <w:rFonts w:ascii="Arial" w:eastAsia="Times New Roman" w:hAnsi="Arial" w:cs="Arial"/>
        </w:rPr>
        <w:t xml:space="preserve"> of the STIF </w:t>
      </w:r>
      <w:r w:rsidRPr="00F34E2E">
        <w:rPr>
          <w:rFonts w:ascii="Arial" w:eastAsia="Times New Roman" w:hAnsi="Arial" w:cs="Arial"/>
        </w:rPr>
        <w:t>are</w:t>
      </w:r>
      <w:r w:rsidRPr="00F46A68">
        <w:rPr>
          <w:rFonts w:ascii="Arial" w:eastAsia="Times New Roman" w:hAnsi="Arial" w:cs="Arial"/>
        </w:rPr>
        <w:t xml:space="preserve"> determined on a fair market valuation basis as of fiscal year end in accordance with the STIF operating procedures. Valuation of the underlying assets is performed by the custodian. Pool investments are measured at fair value in accordance with GASB</w:t>
      </w:r>
      <w:r>
        <w:rPr>
          <w:rFonts w:ascii="Arial" w:eastAsia="Times New Roman" w:hAnsi="Arial" w:cs="Arial"/>
        </w:rPr>
        <w:t xml:space="preserve"> </w:t>
      </w:r>
      <w:r w:rsidRPr="005B66EC">
        <w:rPr>
          <w:rFonts w:ascii="Arial" w:eastAsia="Times New Roman" w:hAnsi="Arial" w:cs="Arial"/>
          <w:highlight w:val="yellow"/>
        </w:rPr>
        <w:t>Statement No.</w:t>
      </w:r>
      <w:r w:rsidRPr="00F46A68">
        <w:rPr>
          <w:rFonts w:ascii="Arial" w:eastAsia="Times New Roman" w:hAnsi="Arial" w:cs="Arial"/>
        </w:rPr>
        <w:t xml:space="preserve"> 72. The College’s position in the pool is measured and reported at fair value </w:t>
      </w:r>
      <w:r w:rsidRPr="00F46A68">
        <w:rPr>
          <w:rFonts w:ascii="Arial" w:hAnsi="Arial" w:cs="Arial"/>
        </w:rPr>
        <w:t>and the STIF is not required to be categorized within the fair value hierarchy</w:t>
      </w:r>
      <w:r w:rsidRPr="00F46A68">
        <w:rPr>
          <w:rFonts w:ascii="Arial" w:eastAsia="Times New Roman" w:hAnsi="Arial" w:cs="Arial"/>
        </w:rPr>
        <w:t>.</w:t>
      </w:r>
    </w:p>
    <w:p w14:paraId="5DB2DEB7" w14:textId="77777777" w:rsidR="005558B6" w:rsidRPr="00641103" w:rsidRDefault="005558B6" w:rsidP="00A66832">
      <w:pPr>
        <w:spacing w:after="240" w:line="240" w:lineRule="auto"/>
        <w:jc w:val="both"/>
        <w:rPr>
          <w:rFonts w:ascii="Arial" w:hAnsi="Arial" w:cs="Arial"/>
          <w:b/>
        </w:rPr>
      </w:pPr>
      <w:r w:rsidRPr="00F46A68">
        <w:rPr>
          <w:rFonts w:ascii="Arial" w:hAnsi="Arial" w:cs="Arial"/>
          <w:b/>
        </w:rPr>
        <w:t xml:space="preserve">Bond Index Fund </w:t>
      </w:r>
      <w:r w:rsidRPr="00F46A68">
        <w:rPr>
          <w:rFonts w:ascii="Arial" w:hAnsi="Arial" w:cs="Arial"/>
        </w:rPr>
        <w:t>-</w:t>
      </w:r>
      <w:r w:rsidRPr="00F46A68">
        <w:rPr>
          <w:rFonts w:ascii="Arial" w:hAnsi="Arial" w:cs="Arial"/>
          <w:b/>
        </w:rPr>
        <w:t xml:space="preserve"> </w:t>
      </w:r>
      <w:r w:rsidRPr="00F46A68">
        <w:rPr>
          <w:rFonts w:ascii="Arial" w:eastAsia="Times New Roman" w:hAnsi="Arial" w:cs="Arial"/>
        </w:rPr>
        <w:t>Ownership interest</w:t>
      </w:r>
      <w:r w:rsidRPr="00F34E2E">
        <w:rPr>
          <w:rFonts w:ascii="Arial" w:eastAsia="Times New Roman" w:hAnsi="Arial" w:cs="Arial"/>
        </w:rPr>
        <w:t>s</w:t>
      </w:r>
      <w:r w:rsidRPr="00F46A68">
        <w:rPr>
          <w:rFonts w:ascii="Arial" w:eastAsia="Times New Roman" w:hAnsi="Arial" w:cs="Arial"/>
        </w:rPr>
        <w:t xml:space="preserve"> in the BIF </w:t>
      </w:r>
      <w:r w:rsidRPr="00F34E2E">
        <w:rPr>
          <w:rFonts w:ascii="Arial" w:eastAsia="Times New Roman" w:hAnsi="Arial" w:cs="Arial"/>
        </w:rPr>
        <w:t>are</w:t>
      </w:r>
      <w:r w:rsidRPr="00F46A68">
        <w:rPr>
          <w:rFonts w:ascii="Arial" w:eastAsia="Times New Roman" w:hAnsi="Arial" w:cs="Arial"/>
        </w:rPr>
        <w:t xml:space="preserve"> determined monthly at fair value based upon units of participation. Units of participation are calculated monthly based upon inflows and outflows as well as allocations of net earnings. </w:t>
      </w:r>
      <w:r w:rsidRPr="00F46A68">
        <w:rPr>
          <w:rFonts w:ascii="Arial" w:hAnsi="Arial" w:cs="Arial"/>
        </w:rPr>
        <w:t xml:space="preserve">Valuation of the underlying assets is performed by the custodian. Pool investments are measured at fair value in accordance with GASB </w:t>
      </w:r>
      <w:r w:rsidRPr="005B66EC">
        <w:rPr>
          <w:rFonts w:ascii="Arial" w:hAnsi="Arial" w:cs="Arial"/>
          <w:highlight w:val="yellow"/>
        </w:rPr>
        <w:t>Statement No.</w:t>
      </w:r>
      <w:r>
        <w:rPr>
          <w:rFonts w:ascii="Arial" w:hAnsi="Arial" w:cs="Arial"/>
        </w:rPr>
        <w:t xml:space="preserve"> </w:t>
      </w:r>
      <w:r w:rsidRPr="00F46A68">
        <w:rPr>
          <w:rFonts w:ascii="Arial" w:hAnsi="Arial" w:cs="Arial"/>
        </w:rPr>
        <w:t>72.</w:t>
      </w:r>
      <w:r w:rsidRPr="00F46A68">
        <w:rPr>
          <w:rFonts w:ascii="Arial" w:hAnsi="Arial" w:cs="Arial"/>
          <w:b/>
        </w:rPr>
        <w:t xml:space="preserve"> </w:t>
      </w:r>
      <w:r w:rsidRPr="00F46A68">
        <w:rPr>
          <w:rFonts w:ascii="Arial" w:hAnsi="Arial" w:cs="Arial"/>
        </w:rPr>
        <w:t>The College’s position in the pool is measured and reported at fair value and the BIF is not required to be categorized within the fair value hierarchy.</w:t>
      </w:r>
    </w:p>
    <w:p w14:paraId="32170486" w14:textId="5371A424" w:rsidR="005558B6" w:rsidRPr="00641103" w:rsidRDefault="005558B6" w:rsidP="00A66832">
      <w:pPr>
        <w:spacing w:after="240" w:line="240" w:lineRule="auto"/>
        <w:jc w:val="both"/>
        <w:rPr>
          <w:rFonts w:ascii="Arial" w:hAnsi="Arial" w:cs="Arial"/>
          <w:b/>
          <w:i/>
          <w:color w:val="0000FF"/>
        </w:rPr>
      </w:pPr>
      <w:r w:rsidRPr="00641103">
        <w:rPr>
          <w:rFonts w:ascii="Arial" w:hAnsi="Arial" w:cs="Arial"/>
          <w:b/>
        </w:rPr>
        <w:t xml:space="preserve">Debt and Equity Securities </w:t>
      </w:r>
      <w:r w:rsidRPr="00325729">
        <w:rPr>
          <w:rFonts w:ascii="Arial" w:hAnsi="Arial" w:cs="Arial"/>
        </w:rPr>
        <w:t>-</w:t>
      </w:r>
      <w:r w:rsidRPr="00641103">
        <w:rPr>
          <w:rFonts w:ascii="Arial" w:hAnsi="Arial" w:cs="Arial"/>
          <w:b/>
          <w:i/>
        </w:rPr>
        <w:t xml:space="preserve"> </w:t>
      </w:r>
      <w:r w:rsidRPr="00641103">
        <w:rPr>
          <w:rFonts w:ascii="Arial" w:hAnsi="Arial" w:cs="Arial"/>
          <w:b/>
          <w:i/>
          <w:color w:val="0000FF"/>
        </w:rPr>
        <w:t xml:space="preserve">[Example – </w:t>
      </w:r>
      <w:r w:rsidRPr="00AC042E">
        <w:rPr>
          <w:rFonts w:ascii="Arial" w:hAnsi="Arial" w:cs="Arial"/>
          <w:b/>
          <w:i/>
          <w:color w:val="0000FF"/>
        </w:rPr>
        <w:t xml:space="preserve">GASB Codification 3100.901, Illustration 5, Example 2: </w:t>
      </w:r>
      <w:r w:rsidRPr="00AC042E">
        <w:rPr>
          <w:rFonts w:ascii="Arial" w:hAnsi="Arial" w:cs="Arial"/>
          <w:color w:val="0000FF"/>
        </w:rPr>
        <w:t>Debt and equity securities classified in Level 1 of the fair value hierarchy are valued usi</w:t>
      </w:r>
      <w:r w:rsidRPr="00641103">
        <w:rPr>
          <w:rFonts w:ascii="Arial" w:hAnsi="Arial" w:cs="Arial"/>
          <w:color w:val="0000FF"/>
        </w:rPr>
        <w:t xml:space="preserve">ng prices quoted in active markets for those securities. Debt securities classified in Level 2 of the fair value hierarchy are valued using a matrix pricing technique. Matrix pricing is used to value securities based on the securities’ relationship to benchmark quoted prices. Commercial and residential mortgage-backed securities classified in Level 3 are valued using discounted cash flow techniques. Collateralized debt obligations classified in Level 3 are valued using consensus pricing. </w:t>
      </w:r>
      <w:r w:rsidRPr="00641103">
        <w:rPr>
          <w:rFonts w:ascii="Arial" w:hAnsi="Arial" w:cs="Arial"/>
          <w:b/>
          <w:i/>
          <w:color w:val="0000FF"/>
        </w:rPr>
        <w:t>Modify as necessary.]</w:t>
      </w:r>
    </w:p>
    <w:p w14:paraId="38154DB1" w14:textId="77777777" w:rsidR="005558B6" w:rsidRPr="00641103" w:rsidRDefault="005558B6" w:rsidP="00A66832">
      <w:pPr>
        <w:spacing w:after="240" w:line="240" w:lineRule="auto"/>
        <w:jc w:val="both"/>
        <w:rPr>
          <w:rFonts w:ascii="Arial" w:hAnsi="Arial" w:cs="Arial"/>
          <w:b/>
          <w:i/>
          <w:color w:val="0000FF"/>
        </w:rPr>
      </w:pPr>
      <w:r w:rsidRPr="00641103">
        <w:rPr>
          <w:rFonts w:ascii="Arial" w:hAnsi="Arial" w:cs="Arial"/>
          <w:b/>
          <w:i/>
          <w:color w:val="0000FF"/>
        </w:rPr>
        <w:t>[Note to Preparer: the paragraph above is example language and should be modified as necessary to describe the valuation technique(s) applied to the College’s specific debt and equity securities classified in Levels 1, 2 and 3. If a level includes securities that are not all valued using the same technique, a description of each of the securities and its respective valuation technique should be included. See last two sentences of the paragraph above for example.]</w:t>
      </w:r>
    </w:p>
    <w:p w14:paraId="24523DF1" w14:textId="77777777" w:rsidR="005558B6" w:rsidRPr="005A31CF" w:rsidRDefault="005558B6" w:rsidP="00A66832">
      <w:pPr>
        <w:spacing w:after="240" w:line="240" w:lineRule="auto"/>
        <w:jc w:val="both"/>
        <w:rPr>
          <w:rFonts w:ascii="Arial" w:hAnsi="Arial" w:cs="Arial"/>
          <w:b/>
          <w:i/>
          <w:color w:val="0000FF"/>
        </w:rPr>
      </w:pPr>
      <w:r w:rsidRPr="00641103">
        <w:rPr>
          <w:rFonts w:ascii="Arial" w:hAnsi="Arial" w:cs="Arial"/>
        </w:rPr>
        <w:t xml:space="preserve">The following table presents the valuation of investments measured at the Net Asset Value (NAV) per share (or its equivalent) at June 30, </w:t>
      </w:r>
      <w:r>
        <w:rPr>
          <w:rFonts w:ascii="Arial" w:hAnsi="Arial" w:cs="Arial"/>
        </w:rPr>
        <w:t>2022</w:t>
      </w:r>
      <w:r w:rsidRPr="00641103">
        <w:rPr>
          <w:rFonts w:ascii="Arial" w:hAnsi="Arial" w:cs="Arial"/>
        </w:rPr>
        <w:t>.</w:t>
      </w:r>
      <w:r w:rsidRPr="00641103">
        <w:rPr>
          <w:rFonts w:ascii="Arial" w:hAnsi="Arial" w:cs="Arial"/>
          <w:b/>
          <w:i/>
        </w:rPr>
        <w:t xml:space="preserve"> </w:t>
      </w:r>
      <w:r w:rsidRPr="00641103">
        <w:rPr>
          <w:rFonts w:ascii="Arial" w:hAnsi="Arial" w:cs="Arial"/>
          <w:b/>
          <w:i/>
          <w:color w:val="0000FF"/>
        </w:rPr>
        <w:t>[Modify as necessary.]</w:t>
      </w:r>
    </w:p>
    <w:bookmarkStart w:id="133" w:name="_MON_1621765898"/>
    <w:bookmarkEnd w:id="133"/>
    <w:p w14:paraId="021F1AB3" w14:textId="28BB4D5B" w:rsidR="005558B6" w:rsidRPr="005A31CF" w:rsidRDefault="005558B6" w:rsidP="00A66832">
      <w:pPr>
        <w:spacing w:after="240" w:line="240" w:lineRule="auto"/>
        <w:jc w:val="center"/>
        <w:rPr>
          <w:rFonts w:ascii="Arial" w:hAnsi="Arial" w:cs="Arial"/>
          <w:color w:val="0000FF"/>
        </w:rPr>
      </w:pPr>
      <w:r w:rsidRPr="002A0C15">
        <w:rPr>
          <w:rFonts w:ascii="Arial" w:hAnsi="Arial" w:cs="Arial"/>
          <w:color w:val="0000FF"/>
        </w:rPr>
        <w:object w:dxaOrig="11310" w:dyaOrig="4281" w14:anchorId="183075E6">
          <v:shape id="_x0000_i1032" type="#_x0000_t75" style="width:6in;height:187.5pt" o:ole="">
            <v:imagedata r:id="rId28" o:title=""/>
          </v:shape>
          <o:OLEObject Type="Embed" ProgID="Excel.Sheet.12" ShapeID="_x0000_i1032" DrawAspect="Content" ObjectID="_1721553177" r:id="rId29"/>
        </w:object>
      </w:r>
    </w:p>
    <w:p w14:paraId="7E4FF7D3" w14:textId="0E5E70F6" w:rsidR="005558B6" w:rsidRPr="00AC042E" w:rsidRDefault="005558B6" w:rsidP="00A66832">
      <w:pPr>
        <w:spacing w:line="240" w:lineRule="auto"/>
        <w:jc w:val="both"/>
        <w:rPr>
          <w:rFonts w:ascii="Arial" w:hAnsi="Arial" w:cs="Arial"/>
          <w:b/>
        </w:rPr>
      </w:pPr>
      <w:r w:rsidRPr="00AC042E">
        <w:rPr>
          <w:rFonts w:ascii="Arial" w:hAnsi="Arial" w:cs="Arial"/>
          <w:b/>
          <w:i/>
          <w:color w:val="0000FF"/>
        </w:rPr>
        <w:t xml:space="preserve">Note to Preparer: Per GASB </w:t>
      </w:r>
      <w:r w:rsidR="00627539">
        <w:rPr>
          <w:rFonts w:ascii="Arial" w:hAnsi="Arial" w:cs="Arial"/>
          <w:b/>
          <w:i/>
          <w:color w:val="0000FF"/>
        </w:rPr>
        <w:t xml:space="preserve">Codification </w:t>
      </w:r>
      <w:r w:rsidRPr="00AC042E">
        <w:rPr>
          <w:rFonts w:ascii="Arial" w:hAnsi="Arial" w:cs="Arial"/>
          <w:b/>
          <w:i/>
          <w:color w:val="0000FF"/>
        </w:rPr>
        <w:t xml:space="preserve">3100.163 specific disclosures regarding each type of investment measured at the NAV (or its equivalent) are required. Tickmarks A-E </w:t>
      </w:r>
      <w:r w:rsidRPr="00AC042E">
        <w:rPr>
          <w:rFonts w:ascii="Arial" w:hAnsi="Arial" w:cs="Arial"/>
          <w:b/>
          <w:i/>
          <w:color w:val="0000FF"/>
        </w:rPr>
        <w:lastRenderedPageBreak/>
        <w:t>in the table above should each be discussed in separate paragraphs. See GASB</w:t>
      </w:r>
      <w:r w:rsidR="00627539">
        <w:rPr>
          <w:rFonts w:ascii="Arial" w:hAnsi="Arial" w:cs="Arial"/>
          <w:b/>
          <w:i/>
          <w:color w:val="0000FF"/>
        </w:rPr>
        <w:t xml:space="preserve"> Codification</w:t>
      </w:r>
      <w:r w:rsidRPr="00AC042E">
        <w:rPr>
          <w:rFonts w:ascii="Arial" w:hAnsi="Arial" w:cs="Arial"/>
          <w:b/>
          <w:i/>
          <w:color w:val="0000FF"/>
        </w:rPr>
        <w:t xml:space="preserve"> 3100.163 for the specific requirements to be disclosed.</w:t>
      </w:r>
    </w:p>
    <w:p w14:paraId="5CE35FB3" w14:textId="77777777" w:rsidR="005558B6" w:rsidRPr="00AC042E" w:rsidRDefault="005558B6" w:rsidP="00A66832">
      <w:pPr>
        <w:spacing w:after="240" w:line="240" w:lineRule="auto"/>
        <w:ind w:left="720" w:hanging="360"/>
        <w:jc w:val="both"/>
        <w:rPr>
          <w:rFonts w:ascii="Arial" w:hAnsi="Arial" w:cs="Arial"/>
          <w:b/>
          <w:i/>
          <w:color w:val="0000FF"/>
        </w:rPr>
      </w:pPr>
      <w:r w:rsidRPr="00AC042E">
        <w:rPr>
          <w:rFonts w:ascii="Arial" w:hAnsi="Arial" w:cs="Arial"/>
          <w:b/>
        </w:rPr>
        <w:t>A.</w:t>
      </w:r>
      <w:r w:rsidRPr="00AC042E">
        <w:rPr>
          <w:rFonts w:ascii="Arial" w:hAnsi="Arial" w:cs="Arial"/>
          <w:b/>
          <w:i/>
        </w:rPr>
        <w:tab/>
      </w:r>
      <w:r w:rsidRPr="00AC042E">
        <w:rPr>
          <w:rFonts w:ascii="Arial" w:hAnsi="Arial" w:cs="Arial"/>
          <w:b/>
        </w:rPr>
        <w:t>Real Estate Investment Trusts</w:t>
      </w:r>
      <w:r w:rsidRPr="00AC042E">
        <w:rPr>
          <w:rFonts w:ascii="Arial" w:hAnsi="Arial" w:cs="Arial"/>
        </w:rPr>
        <w:t xml:space="preserve"> - </w:t>
      </w:r>
      <w:r w:rsidRPr="00AC042E">
        <w:rPr>
          <w:rFonts w:ascii="Arial" w:hAnsi="Arial" w:cs="Arial"/>
          <w:b/>
          <w:i/>
          <w:color w:val="0000FF"/>
        </w:rPr>
        <w:t>[Modify as necessary.]</w:t>
      </w:r>
    </w:p>
    <w:p w14:paraId="19DB4526" w14:textId="0B3CA13F" w:rsidR="005558B6" w:rsidRPr="00AC042E" w:rsidRDefault="005558B6" w:rsidP="00A66832">
      <w:pPr>
        <w:spacing w:after="240" w:line="240" w:lineRule="auto"/>
        <w:ind w:left="720" w:hanging="360"/>
        <w:jc w:val="both"/>
        <w:rPr>
          <w:rFonts w:ascii="Arial" w:hAnsi="Arial" w:cs="Arial"/>
          <w:b/>
          <w:i/>
          <w:color w:val="0000FF"/>
        </w:rPr>
      </w:pPr>
      <w:r w:rsidRPr="00AC042E">
        <w:rPr>
          <w:rFonts w:ascii="Arial" w:hAnsi="Arial" w:cs="Arial"/>
          <w:b/>
        </w:rPr>
        <w:t xml:space="preserve">B. </w:t>
      </w:r>
      <w:r w:rsidRPr="00AC042E">
        <w:rPr>
          <w:rFonts w:ascii="Arial" w:hAnsi="Arial" w:cs="Arial"/>
          <w:b/>
        </w:rPr>
        <w:tab/>
        <w:t>Hedge Funds</w:t>
      </w:r>
      <w:r w:rsidRPr="00AC042E">
        <w:rPr>
          <w:rFonts w:ascii="Arial" w:hAnsi="Arial" w:cs="Arial"/>
        </w:rPr>
        <w:t xml:space="preserve"> - </w:t>
      </w:r>
      <w:r w:rsidRPr="00AC042E">
        <w:rPr>
          <w:rFonts w:ascii="Arial" w:hAnsi="Arial" w:cs="Arial"/>
          <w:b/>
          <w:i/>
          <w:color w:val="0000FF"/>
        </w:rPr>
        <w:t xml:space="preserve">[Example language for an equity long/short hedge fund </w:t>
      </w:r>
      <w:r w:rsidRPr="00AC042E">
        <w:rPr>
          <w:rFonts w:ascii="Arial" w:hAnsi="Arial" w:cs="Arial"/>
          <w:b/>
          <w:color w:val="0000FF"/>
        </w:rPr>
        <w:t xml:space="preserve">per GASB </w:t>
      </w:r>
      <w:r w:rsidR="00627539">
        <w:rPr>
          <w:rFonts w:ascii="Arial" w:hAnsi="Arial" w:cs="Arial"/>
          <w:b/>
          <w:color w:val="0000FF"/>
        </w:rPr>
        <w:t>Codification</w:t>
      </w:r>
      <w:r w:rsidRPr="00AC042E">
        <w:rPr>
          <w:rFonts w:ascii="Arial" w:hAnsi="Arial" w:cs="Arial"/>
          <w:b/>
          <w:color w:val="0000FF"/>
        </w:rPr>
        <w:t xml:space="preserve"> 3100.901, Illustration 4, Example 2.</w:t>
      </w:r>
      <w:r w:rsidRPr="00AC042E">
        <w:rPr>
          <w:rFonts w:ascii="Arial" w:hAnsi="Arial" w:cs="Arial"/>
          <w:color w:val="0000FF"/>
        </w:rPr>
        <w:t xml:space="preserve"> </w:t>
      </w:r>
      <w:r w:rsidRPr="00AC042E">
        <w:rPr>
          <w:rFonts w:ascii="Arial" w:hAnsi="Arial" w:cs="Arial"/>
          <w:b/>
          <w:i/>
          <w:color w:val="0000FF"/>
        </w:rPr>
        <w:t>Modify as necessary.]</w:t>
      </w:r>
    </w:p>
    <w:p w14:paraId="0BF88498" w14:textId="77777777" w:rsidR="005558B6" w:rsidRPr="00B76511" w:rsidRDefault="005558B6" w:rsidP="00A66832">
      <w:pPr>
        <w:spacing w:after="240" w:line="240" w:lineRule="auto"/>
        <w:ind w:left="720" w:hanging="360"/>
        <w:jc w:val="both"/>
        <w:rPr>
          <w:rFonts w:ascii="Arial" w:hAnsi="Arial" w:cs="Arial"/>
          <w:b/>
        </w:rPr>
      </w:pPr>
      <w:r w:rsidRPr="00AC042E">
        <w:rPr>
          <w:rFonts w:ascii="Arial" w:hAnsi="Arial" w:cs="Arial"/>
          <w:b/>
        </w:rPr>
        <w:t xml:space="preserve">C. </w:t>
      </w:r>
      <w:r w:rsidRPr="00AC042E">
        <w:rPr>
          <w:rFonts w:ascii="Arial" w:hAnsi="Arial" w:cs="Arial"/>
          <w:b/>
        </w:rPr>
        <w:tab/>
        <w:t>Private Equity Limited Partnerships</w:t>
      </w:r>
      <w:r w:rsidRPr="00AC042E">
        <w:rPr>
          <w:rFonts w:ascii="Arial" w:hAnsi="Arial" w:cs="Arial"/>
        </w:rPr>
        <w:t xml:space="preserve"> -</w:t>
      </w:r>
      <w:r w:rsidRPr="00AC042E">
        <w:rPr>
          <w:rFonts w:ascii="Arial" w:hAnsi="Arial" w:cs="Arial"/>
          <w:b/>
        </w:rPr>
        <w:t xml:space="preserve"> </w:t>
      </w:r>
      <w:r w:rsidRPr="00AC042E">
        <w:rPr>
          <w:rFonts w:ascii="Arial" w:hAnsi="Arial" w:cs="Arial"/>
          <w:b/>
          <w:color w:val="0000FF"/>
        </w:rPr>
        <w:t>[Modify as necessary.]</w:t>
      </w:r>
    </w:p>
    <w:p w14:paraId="58038120" w14:textId="77777777" w:rsidR="005558B6" w:rsidRPr="00B76511" w:rsidRDefault="005558B6" w:rsidP="00A66832">
      <w:pPr>
        <w:spacing w:after="240" w:line="240" w:lineRule="auto"/>
        <w:ind w:left="720" w:hanging="360"/>
        <w:jc w:val="both"/>
        <w:rPr>
          <w:rFonts w:ascii="Arial" w:hAnsi="Arial" w:cs="Arial"/>
          <w:b/>
        </w:rPr>
      </w:pPr>
      <w:r w:rsidRPr="00B76511">
        <w:rPr>
          <w:rFonts w:ascii="Arial" w:hAnsi="Arial" w:cs="Arial"/>
          <w:b/>
        </w:rPr>
        <w:t xml:space="preserve">D. </w:t>
      </w:r>
      <w:r w:rsidRPr="00B76511">
        <w:rPr>
          <w:rFonts w:ascii="Arial" w:hAnsi="Arial" w:cs="Arial"/>
          <w:b/>
        </w:rPr>
        <w:tab/>
        <w:t>Real Assets Limited Partnerships</w:t>
      </w:r>
      <w:r w:rsidRPr="00B76511">
        <w:rPr>
          <w:rFonts w:ascii="Arial" w:hAnsi="Arial" w:cs="Arial"/>
        </w:rPr>
        <w:t xml:space="preserve"> - </w:t>
      </w:r>
      <w:r w:rsidRPr="00B76511">
        <w:rPr>
          <w:rFonts w:ascii="Arial" w:hAnsi="Arial" w:cs="Arial"/>
          <w:b/>
          <w:i/>
          <w:color w:val="0000FF"/>
        </w:rPr>
        <w:t>[Modify as necessary.]</w:t>
      </w:r>
    </w:p>
    <w:p w14:paraId="197D9486" w14:textId="77777777" w:rsidR="005558B6" w:rsidRPr="00B76511" w:rsidRDefault="005558B6" w:rsidP="00A66832">
      <w:pPr>
        <w:spacing w:after="240" w:line="240" w:lineRule="auto"/>
        <w:ind w:left="720" w:hanging="360"/>
        <w:jc w:val="both"/>
        <w:rPr>
          <w:rFonts w:ascii="Arial" w:hAnsi="Arial" w:cs="Arial"/>
          <w:b/>
          <w:i/>
          <w:color w:val="0000FF"/>
        </w:rPr>
      </w:pPr>
      <w:r w:rsidRPr="00B76511">
        <w:rPr>
          <w:rFonts w:ascii="Arial" w:hAnsi="Arial" w:cs="Arial"/>
          <w:b/>
        </w:rPr>
        <w:t xml:space="preserve">E. </w:t>
      </w:r>
      <w:r w:rsidRPr="00B76511">
        <w:rPr>
          <w:rFonts w:ascii="Arial" w:hAnsi="Arial" w:cs="Arial"/>
          <w:b/>
        </w:rPr>
        <w:tab/>
        <w:t>Other Limited Partnerships</w:t>
      </w:r>
      <w:r w:rsidRPr="00B76511">
        <w:rPr>
          <w:rFonts w:ascii="Arial" w:hAnsi="Arial" w:cs="Arial"/>
        </w:rPr>
        <w:t xml:space="preserve"> - </w:t>
      </w:r>
      <w:r w:rsidRPr="00B76511">
        <w:rPr>
          <w:rFonts w:ascii="Arial" w:hAnsi="Arial" w:cs="Arial"/>
          <w:b/>
          <w:i/>
          <w:color w:val="0000FF"/>
        </w:rPr>
        <w:t>[Modify as necessary.]</w:t>
      </w:r>
    </w:p>
    <w:p w14:paraId="01B7A1BD" w14:textId="77777777" w:rsidR="005558B6" w:rsidRPr="00B76511" w:rsidRDefault="005558B6" w:rsidP="00A66832">
      <w:pPr>
        <w:spacing w:after="240" w:line="240" w:lineRule="auto"/>
        <w:ind w:left="720" w:hanging="360"/>
        <w:jc w:val="both"/>
        <w:rPr>
          <w:rFonts w:ascii="Arial" w:hAnsi="Arial" w:cs="Arial"/>
          <w:b/>
          <w:i/>
          <w:color w:val="0000FF"/>
        </w:rPr>
      </w:pPr>
      <w:r w:rsidRPr="00B76511">
        <w:rPr>
          <w:rFonts w:ascii="Arial" w:hAnsi="Arial" w:cs="Arial"/>
          <w:b/>
        </w:rPr>
        <w:t>F.</w:t>
      </w:r>
      <w:r w:rsidRPr="00B76511">
        <w:rPr>
          <w:rFonts w:ascii="Arial" w:hAnsi="Arial" w:cs="Arial"/>
          <w:b/>
          <w:i/>
          <w:color w:val="0000FF"/>
        </w:rPr>
        <w:t xml:space="preserve"> </w:t>
      </w:r>
      <w:r w:rsidRPr="00B76511">
        <w:rPr>
          <w:rFonts w:ascii="Arial" w:hAnsi="Arial" w:cs="Arial"/>
          <w:b/>
          <w:i/>
          <w:color w:val="0000FF"/>
        </w:rPr>
        <w:tab/>
      </w:r>
      <w:r w:rsidRPr="00B76511">
        <w:rPr>
          <w:rFonts w:ascii="Arial" w:hAnsi="Arial" w:cs="Arial"/>
          <w:b/>
        </w:rPr>
        <w:t xml:space="preserve">Pooled Investments </w:t>
      </w:r>
      <w:r w:rsidRPr="00B76511">
        <w:rPr>
          <w:rFonts w:ascii="Arial" w:hAnsi="Arial" w:cs="Arial"/>
        </w:rPr>
        <w:t xml:space="preserve">- </w:t>
      </w:r>
      <w:r w:rsidRPr="00B76511">
        <w:rPr>
          <w:rFonts w:ascii="Arial" w:hAnsi="Arial" w:cs="Arial"/>
          <w:b/>
          <w:i/>
          <w:color w:val="0000FF"/>
        </w:rPr>
        <w:t>[Modify as necessary.]</w:t>
      </w:r>
    </w:p>
    <w:p w14:paraId="1A7A40CC" w14:textId="1EB853AC" w:rsidR="005558B6" w:rsidRPr="00325729" w:rsidRDefault="005558B6" w:rsidP="00A66832">
      <w:pPr>
        <w:tabs>
          <w:tab w:val="left" w:pos="1980"/>
          <w:tab w:val="left" w:pos="2160"/>
        </w:tabs>
        <w:spacing w:after="240" w:line="240" w:lineRule="auto"/>
        <w:jc w:val="both"/>
        <w:rPr>
          <w:rFonts w:ascii="Arial Bold" w:hAnsi="Arial Bold" w:cs="Arial"/>
          <w:b/>
        </w:rPr>
      </w:pPr>
      <w:r w:rsidRPr="00FF7A47">
        <w:rPr>
          <w:rFonts w:ascii="Arial Bold" w:hAnsi="Arial Bold" w:cs="Arial"/>
          <w:b/>
        </w:rPr>
        <w:t>Component Unit(s)</w:t>
      </w:r>
      <w:r w:rsidR="00325729" w:rsidRPr="00325729">
        <w:rPr>
          <w:rFonts w:ascii="Arial Bold" w:hAnsi="Arial Bold" w:cs="Arial"/>
        </w:rPr>
        <w:t xml:space="preserve"> </w:t>
      </w:r>
      <w:r w:rsidR="00325729" w:rsidRPr="00325729">
        <w:rPr>
          <w:rFonts w:ascii="Arial" w:hAnsi="Arial" w:cs="Arial"/>
        </w:rPr>
        <w:t>-</w:t>
      </w:r>
      <w:r w:rsidR="00325729">
        <w:rPr>
          <w:rFonts w:ascii="Arial Bold" w:hAnsi="Arial Bold" w:cs="Arial"/>
          <w:b/>
        </w:rPr>
        <w:t xml:space="preserve"> </w:t>
      </w:r>
      <w:r w:rsidRPr="00FF7A47">
        <w:rPr>
          <w:rFonts w:ascii="Arial" w:hAnsi="Arial" w:cs="Arial"/>
          <w:b/>
          <w:i/>
          <w:color w:val="0000FF"/>
        </w:rPr>
        <w:t xml:space="preserve">[If the College has discretely presented component units with fair value disclosures, provide disclosures as necessary based on </w:t>
      </w:r>
      <w:r>
        <w:rPr>
          <w:rFonts w:ascii="Arial" w:hAnsi="Arial" w:cs="Arial"/>
          <w:b/>
          <w:i/>
          <w:color w:val="0000FF"/>
        </w:rPr>
        <w:t xml:space="preserve">the </w:t>
      </w:r>
      <w:r w:rsidRPr="00FF7A47">
        <w:rPr>
          <w:rFonts w:ascii="Arial" w:hAnsi="Arial" w:cs="Arial"/>
          <w:b/>
          <w:i/>
          <w:color w:val="0000FF"/>
        </w:rPr>
        <w:t>audit report</w:t>
      </w:r>
      <w:r>
        <w:rPr>
          <w:rFonts w:ascii="Arial" w:hAnsi="Arial" w:cs="Arial"/>
          <w:b/>
          <w:i/>
          <w:color w:val="0000FF"/>
        </w:rPr>
        <w:t>(s)</w:t>
      </w:r>
      <w:r w:rsidRPr="00FF7A47">
        <w:rPr>
          <w:rFonts w:ascii="Arial" w:hAnsi="Arial" w:cs="Arial"/>
          <w:b/>
          <w:i/>
          <w:color w:val="0000FF"/>
        </w:rPr>
        <w:t xml:space="preserve"> for those component units.]</w:t>
      </w:r>
    </w:p>
    <w:p w14:paraId="5F1489C8" w14:textId="77777777" w:rsidR="005558B6" w:rsidRPr="00A66832" w:rsidRDefault="005558B6" w:rsidP="005D46CC">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4</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Endowment Investments</w:t>
      </w:r>
    </w:p>
    <w:p w14:paraId="31F695EC" w14:textId="77777777" w:rsidR="005558B6" w:rsidRPr="005A31CF" w:rsidRDefault="005558B6" w:rsidP="00A66832">
      <w:pPr>
        <w:spacing w:after="240" w:line="240" w:lineRule="auto"/>
        <w:jc w:val="both"/>
        <w:rPr>
          <w:rFonts w:ascii="Arial" w:eastAsia="Times New Roman" w:hAnsi="Arial" w:cs="Arial"/>
        </w:rPr>
      </w:pPr>
      <w:r w:rsidRPr="005A31CF">
        <w:rPr>
          <w:rFonts w:ascii="Arial" w:eastAsia="Times New Roman" w:hAnsi="Arial" w:cs="Arial"/>
        </w:rPr>
        <w:t xml:space="preserve">Investments of the College’s endowment funds are pooled, unless required to be separately invested by the donor. If a donor has not provided specific instructions, state law permits the Board of Trustees to authorize for expenditure the net appreciation, realized and unrealized, of the investments of the endowment funds. Under the Uniform Prudent Management of Institutional Funds Act (UPMIFA), authorized by the North Carolina General Assembly on March 19, </w:t>
      </w:r>
      <w:r w:rsidRPr="005A31CF">
        <w:rPr>
          <w:rFonts w:ascii="Arial" w:eastAsia="Times New Roman" w:hAnsi="Arial" w:cs="Arial"/>
          <w:color w:val="000000"/>
        </w:rPr>
        <w:t>20</w:t>
      </w:r>
      <w:bookmarkStart w:id="134" w:name="YearChg"/>
      <w:r w:rsidRPr="005A31CF">
        <w:rPr>
          <w:rFonts w:ascii="Arial" w:eastAsia="Times New Roman" w:hAnsi="Arial" w:cs="Arial"/>
          <w:color w:val="000000"/>
        </w:rPr>
        <w:t>09</w:t>
      </w:r>
      <w:bookmarkEnd w:id="134"/>
      <w:r w:rsidRPr="005A31CF">
        <w:rPr>
          <w:rFonts w:ascii="Arial" w:eastAsia="Times New Roman" w:hAnsi="Arial" w:cs="Arial"/>
          <w:color w:val="000000"/>
        </w:rPr>
        <w:t>, the Board may also appropriate expenditures from eligible nonexpendable balances if deemed prudent and necessary to meet program outcomes and for which such</w:t>
      </w:r>
      <w:r w:rsidRPr="005A31CF">
        <w:rPr>
          <w:rFonts w:ascii="Arial" w:eastAsia="Times New Roman" w:hAnsi="Arial" w:cs="Arial"/>
        </w:rPr>
        <w:t xml:space="preserve"> spending is not specifically prohibited by the donor agreements. </w:t>
      </w:r>
      <w:r w:rsidRPr="005A31CF">
        <w:rPr>
          <w:rFonts w:ascii="Arial" w:eastAsia="Times New Roman" w:hAnsi="Arial" w:cs="Arial"/>
          <w:color w:val="0000FF"/>
        </w:rPr>
        <w:t xml:space="preserve">[However, a majority of the College’s endowment donor agreements prohibit spending of nonexpendable balances and therefore the related nonexpendable balances are not eligible for expenditure. </w:t>
      </w:r>
      <w:r w:rsidRPr="005A31CF">
        <w:rPr>
          <w:rFonts w:ascii="Arial" w:eastAsia="Times New Roman" w:hAnsi="Arial" w:cs="Arial"/>
          <w:b/>
          <w:i/>
          <w:color w:val="0000FF"/>
        </w:rPr>
        <w:t>Modify as necessary.</w:t>
      </w:r>
      <w:r w:rsidRPr="005A31CF">
        <w:rPr>
          <w:rFonts w:ascii="Arial" w:eastAsia="Times New Roman" w:hAnsi="Arial" w:cs="Arial"/>
          <w:color w:val="0000FF"/>
        </w:rPr>
        <w:t xml:space="preserve">] [During the year, the Board did not appropriate expenditures from eligible nonexpendable endowment funds. – </w:t>
      </w:r>
      <w:r w:rsidRPr="005A31CF">
        <w:rPr>
          <w:rFonts w:ascii="Arial" w:eastAsia="Times New Roman" w:hAnsi="Arial" w:cs="Arial"/>
          <w:b/>
          <w:i/>
          <w:color w:val="0000FF"/>
        </w:rPr>
        <w:t>or</w:t>
      </w:r>
      <w:r w:rsidRPr="005A31CF">
        <w:rPr>
          <w:rFonts w:ascii="Arial" w:eastAsia="Times New Roman" w:hAnsi="Arial" w:cs="Arial"/>
          <w:color w:val="0000FF"/>
        </w:rPr>
        <w:t xml:space="preserve"> - During the year, the Board appropriated $________ in expenditures from eligible nonexpendable endowment funds.]</w:t>
      </w:r>
    </w:p>
    <w:p w14:paraId="5BE25786" w14:textId="77777777" w:rsidR="005558B6" w:rsidRPr="005A31CF" w:rsidRDefault="005558B6" w:rsidP="00A66832">
      <w:pPr>
        <w:tabs>
          <w:tab w:val="left" w:pos="1560"/>
        </w:tabs>
        <w:spacing w:after="240" w:line="240" w:lineRule="auto"/>
        <w:jc w:val="center"/>
        <w:rPr>
          <w:rFonts w:ascii="Arial" w:eastAsia="Times New Roman" w:hAnsi="Arial" w:cs="Arial"/>
          <w:b/>
          <w:i/>
          <w:color w:val="0000FF"/>
        </w:rPr>
      </w:pPr>
      <w:r w:rsidRPr="005A31CF">
        <w:rPr>
          <w:rFonts w:ascii="Arial" w:eastAsia="Times New Roman" w:hAnsi="Arial" w:cs="Arial"/>
          <w:b/>
          <w:i/>
          <w:color w:val="0000FF"/>
        </w:rPr>
        <w:t>[For Colleges using the total return concept an example follows.]</w:t>
      </w:r>
    </w:p>
    <w:p w14:paraId="154492E3" w14:textId="2B40D42F" w:rsidR="005558B6" w:rsidRPr="005A31CF" w:rsidRDefault="005558B6" w:rsidP="00A66832">
      <w:pPr>
        <w:spacing w:after="240" w:line="240" w:lineRule="auto"/>
        <w:jc w:val="both"/>
        <w:rPr>
          <w:rFonts w:ascii="Arial" w:eastAsia="Times New Roman" w:hAnsi="Arial" w:cs="Arial"/>
        </w:rPr>
      </w:pPr>
      <w:r w:rsidRPr="005A31CF">
        <w:rPr>
          <w:rFonts w:ascii="Arial" w:eastAsia="Times New Roman" w:hAnsi="Arial" w:cs="Arial"/>
        </w:rPr>
        <w:t xml:space="preserve">Investment return of the College’s endowment funds is predicated on the total return concept (yield plus appreciation). </w:t>
      </w:r>
      <w:r w:rsidRPr="00150D59">
        <w:rPr>
          <w:rFonts w:ascii="Arial" w:hAnsi="Arial" w:cs="Arial"/>
          <w:color w:val="0000FF"/>
        </w:rPr>
        <w:t xml:space="preserve">[GASB Codification 2300.123 requires the disclosure of the </w:t>
      </w:r>
      <w:r>
        <w:rPr>
          <w:rFonts w:ascii="Arial" w:hAnsi="Arial" w:cs="Arial"/>
          <w:color w:val="0000FF"/>
        </w:rPr>
        <w:t>College</w:t>
      </w:r>
      <w:r w:rsidRPr="00150D59">
        <w:rPr>
          <w:rFonts w:ascii="Arial" w:hAnsi="Arial" w:cs="Arial"/>
          <w:color w:val="0000FF"/>
        </w:rPr>
        <w:t>’s policy for authorizing and spending investment income. Inset here.]</w:t>
      </w:r>
      <w:r w:rsidRPr="00A478FA">
        <w:rPr>
          <w:rFonts w:ascii="Arial" w:hAnsi="Arial" w:cs="Arial"/>
        </w:rPr>
        <w:t xml:space="preserve"> </w:t>
      </w:r>
      <w:r>
        <w:rPr>
          <w:rFonts w:ascii="Arial" w:eastAsia="Times New Roman" w:hAnsi="Arial" w:cs="Arial"/>
        </w:rPr>
        <w:t>At June 30, 2022</w:t>
      </w:r>
      <w:r w:rsidRPr="005A31CF">
        <w:rPr>
          <w:rFonts w:ascii="Arial" w:eastAsia="Times New Roman" w:hAnsi="Arial" w:cs="Arial"/>
        </w:rPr>
        <w:t xml:space="preserve">, net appreciation of $__________ was available to be spent, of which $____________ was classified in net position as </w:t>
      </w:r>
      <w:r w:rsidRPr="005A31CF">
        <w:rPr>
          <w:rFonts w:ascii="Arial" w:eastAsia="Times New Roman" w:hAnsi="Arial" w:cs="Arial"/>
          <w:b/>
          <w:color w:val="0000FF"/>
        </w:rPr>
        <w:t xml:space="preserve">[classification (i.e. restricted: expendable: </w:t>
      </w:r>
      <w:r w:rsidRPr="000F4163">
        <w:rPr>
          <w:rFonts w:ascii="Arial" w:eastAsia="Times New Roman" w:hAnsi="Arial" w:cs="Arial"/>
          <w:b/>
          <w:color w:val="0000FF"/>
          <w:highlight w:val="yellow"/>
        </w:rPr>
        <w:t>s</w:t>
      </w:r>
      <w:r w:rsidR="000F4163" w:rsidRPr="000F4163">
        <w:rPr>
          <w:rFonts w:ascii="Arial" w:eastAsia="Times New Roman" w:hAnsi="Arial" w:cs="Arial"/>
          <w:b/>
          <w:color w:val="0000FF"/>
          <w:highlight w:val="yellow"/>
        </w:rPr>
        <w:t>tudent financial aid</w:t>
      </w:r>
      <w:r w:rsidRPr="005A31CF">
        <w:rPr>
          <w:rFonts w:ascii="Arial" w:eastAsia="Times New Roman" w:hAnsi="Arial" w:cs="Arial"/>
          <w:b/>
          <w:color w:val="0000FF"/>
        </w:rPr>
        <w:t>)]</w:t>
      </w:r>
      <w:r w:rsidRPr="005A31CF">
        <w:rPr>
          <w:rFonts w:ascii="Arial" w:eastAsia="Times New Roman" w:hAnsi="Arial" w:cs="Arial"/>
        </w:rPr>
        <w:t xml:space="preserve"> as it is restricted for specific purposes. The remaining portion of net appreciation available to be spent is classified as unrestricted net position. </w:t>
      </w:r>
      <w:r w:rsidRPr="005A31CF">
        <w:rPr>
          <w:rFonts w:ascii="Arial" w:eastAsia="Times New Roman" w:hAnsi="Arial" w:cs="Arial"/>
          <w:b/>
          <w:i/>
          <w:color w:val="0000FF"/>
        </w:rPr>
        <w:t>[Modify as Necessary.]</w:t>
      </w:r>
    </w:p>
    <w:p w14:paraId="02C3D4D4" w14:textId="77777777" w:rsidR="005558B6" w:rsidRPr="005A31CF" w:rsidRDefault="005558B6" w:rsidP="00A66832">
      <w:pPr>
        <w:tabs>
          <w:tab w:val="left" w:pos="1560"/>
        </w:tabs>
        <w:spacing w:after="240" w:line="240" w:lineRule="auto"/>
        <w:jc w:val="center"/>
        <w:rPr>
          <w:rFonts w:ascii="Arial" w:eastAsia="Times New Roman" w:hAnsi="Arial" w:cs="Arial"/>
          <w:b/>
          <w:i/>
          <w:color w:val="0000FF"/>
        </w:rPr>
      </w:pPr>
      <w:r w:rsidRPr="005A31CF">
        <w:rPr>
          <w:rFonts w:ascii="Arial" w:eastAsia="Times New Roman" w:hAnsi="Arial" w:cs="Arial"/>
          <w:b/>
          <w:i/>
          <w:color w:val="0000FF"/>
        </w:rPr>
        <w:t>OR</w:t>
      </w:r>
    </w:p>
    <w:p w14:paraId="2DC86BA2" w14:textId="77777777" w:rsidR="005558B6" w:rsidRPr="005A31CF" w:rsidRDefault="005558B6" w:rsidP="00A66832">
      <w:pPr>
        <w:tabs>
          <w:tab w:val="left" w:pos="1560"/>
        </w:tabs>
        <w:spacing w:after="240" w:line="240" w:lineRule="auto"/>
        <w:jc w:val="center"/>
        <w:rPr>
          <w:rFonts w:ascii="Arial" w:eastAsia="Times New Roman" w:hAnsi="Arial" w:cs="Arial"/>
          <w:b/>
          <w:i/>
          <w:color w:val="0000FF"/>
        </w:rPr>
      </w:pPr>
      <w:r w:rsidRPr="005A31CF">
        <w:rPr>
          <w:rFonts w:ascii="Arial" w:eastAsia="Times New Roman" w:hAnsi="Arial" w:cs="Arial"/>
          <w:b/>
          <w:i/>
          <w:color w:val="0000FF"/>
        </w:rPr>
        <w:t>[For Colleges not using the total return concept an example follows.]</w:t>
      </w:r>
    </w:p>
    <w:p w14:paraId="7CD5FC8B" w14:textId="7DA3AE29" w:rsidR="005558B6" w:rsidRPr="005A31CF" w:rsidRDefault="005558B6" w:rsidP="00A66832">
      <w:pPr>
        <w:spacing w:after="240" w:line="240" w:lineRule="auto"/>
        <w:jc w:val="both"/>
        <w:rPr>
          <w:rFonts w:ascii="Arial" w:eastAsia="Times New Roman" w:hAnsi="Arial" w:cs="Arial"/>
          <w:b/>
          <w:i/>
          <w:color w:val="0000FF"/>
        </w:rPr>
      </w:pPr>
      <w:r w:rsidRPr="005A31CF">
        <w:rPr>
          <w:rFonts w:ascii="Arial" w:eastAsia="Times New Roman" w:hAnsi="Arial" w:cs="Arial"/>
        </w:rPr>
        <w:lastRenderedPageBreak/>
        <w:t xml:space="preserve">Investment return of the College’s endowment funds is predicated under classical trust doctrines. Unless the donor has stipulated otherwise, capital gains and losses are accounted for as part of the endowment principal and are not available for expenditure. </w:t>
      </w:r>
      <w:r>
        <w:rPr>
          <w:rFonts w:ascii="Arial" w:hAnsi="Arial" w:cs="Arial"/>
          <w:color w:val="0000FF"/>
        </w:rPr>
        <w:t>[GASB Codification 2300.123 requires the disclosure of the College’s policy for authorizing and spending investment income. Inset here.]</w:t>
      </w:r>
      <w:r w:rsidRPr="00A478FA">
        <w:rPr>
          <w:rFonts w:ascii="Arial" w:hAnsi="Arial" w:cs="Arial"/>
        </w:rPr>
        <w:t xml:space="preserve"> </w:t>
      </w:r>
      <w:r>
        <w:rPr>
          <w:rFonts w:ascii="Arial" w:eastAsia="Times New Roman" w:hAnsi="Arial" w:cs="Arial"/>
        </w:rPr>
        <w:t>At June 30, 2022</w:t>
      </w:r>
      <w:r w:rsidRPr="005A31CF">
        <w:rPr>
          <w:rFonts w:ascii="Arial" w:eastAsia="Times New Roman" w:hAnsi="Arial" w:cs="Arial"/>
        </w:rPr>
        <w:t xml:space="preserve">, net appreciation of $__________ was available to be spent, of which $____________ was classified in net position as </w:t>
      </w:r>
      <w:r w:rsidRPr="005A31CF">
        <w:rPr>
          <w:rFonts w:ascii="Arial" w:eastAsia="Times New Roman" w:hAnsi="Arial" w:cs="Arial"/>
          <w:b/>
          <w:color w:val="0000FF"/>
        </w:rPr>
        <w:t xml:space="preserve">[classification (i.e. restricted: expendable: </w:t>
      </w:r>
      <w:r w:rsidRPr="000F4163">
        <w:rPr>
          <w:rFonts w:ascii="Arial" w:eastAsia="Times New Roman" w:hAnsi="Arial" w:cs="Arial"/>
          <w:b/>
          <w:color w:val="0000FF"/>
          <w:highlight w:val="yellow"/>
        </w:rPr>
        <w:t>s</w:t>
      </w:r>
      <w:r w:rsidR="000F4163" w:rsidRPr="000F4163">
        <w:rPr>
          <w:rFonts w:ascii="Arial" w:eastAsia="Times New Roman" w:hAnsi="Arial" w:cs="Arial"/>
          <w:b/>
          <w:color w:val="0000FF"/>
          <w:highlight w:val="yellow"/>
        </w:rPr>
        <w:t>tudent financial aid</w:t>
      </w:r>
      <w:r w:rsidRPr="005A31CF">
        <w:rPr>
          <w:rFonts w:ascii="Arial" w:eastAsia="Times New Roman" w:hAnsi="Arial" w:cs="Arial"/>
          <w:b/>
          <w:color w:val="0000FF"/>
        </w:rPr>
        <w:t>)]</w:t>
      </w:r>
      <w:r w:rsidRPr="005A31CF">
        <w:rPr>
          <w:rFonts w:ascii="Arial" w:eastAsia="Times New Roman" w:hAnsi="Arial" w:cs="Arial"/>
        </w:rPr>
        <w:t xml:space="preserve"> as it is restricted for specific purposes. The remaining portion of net appreciation available to be spent is classified as unrestricted net position. </w:t>
      </w:r>
      <w:r w:rsidRPr="005A31CF">
        <w:rPr>
          <w:rFonts w:ascii="Arial" w:eastAsia="Times New Roman" w:hAnsi="Arial" w:cs="Arial"/>
          <w:b/>
          <w:i/>
          <w:color w:val="0000FF"/>
        </w:rPr>
        <w:t>[Modify as Necessary.]</w:t>
      </w:r>
    </w:p>
    <w:p w14:paraId="38465768" w14:textId="77777777" w:rsidR="005558B6" w:rsidRPr="005A31CF" w:rsidRDefault="005558B6" w:rsidP="00A66832">
      <w:pPr>
        <w:spacing w:after="240" w:line="240" w:lineRule="auto"/>
        <w:jc w:val="both"/>
        <w:rPr>
          <w:rFonts w:ascii="Arial" w:eastAsia="Times New Roman" w:hAnsi="Arial" w:cs="Arial"/>
        </w:rPr>
      </w:pPr>
      <w:r w:rsidRPr="005A31CF">
        <w:rPr>
          <w:rFonts w:ascii="Arial" w:eastAsia="Times New Roman" w:hAnsi="Arial" w:cs="Arial"/>
        </w:rPr>
        <w:t>During the current year, the College incurred investment losses that exceeded the related endowment’s available accumulated income and net appreciation. These losses resulted in a reduction to the specific nonexpendable endowm</w:t>
      </w:r>
      <w:r>
        <w:rPr>
          <w:rFonts w:ascii="Arial" w:eastAsia="Times New Roman" w:hAnsi="Arial" w:cs="Arial"/>
        </w:rPr>
        <w:t>ent balance. At June 30, 2022</w:t>
      </w:r>
      <w:r w:rsidRPr="005A31CF">
        <w:rPr>
          <w:rFonts w:ascii="Arial" w:eastAsia="Times New Roman" w:hAnsi="Arial" w:cs="Arial"/>
        </w:rPr>
        <w:t xml:space="preserve"> the amount of investment losses reported against the nonexpendable endowment balances was $_________. </w:t>
      </w:r>
    </w:p>
    <w:p w14:paraId="7D9414CF" w14:textId="77777777" w:rsidR="005558B6" w:rsidRPr="005A31CF" w:rsidRDefault="005558B6" w:rsidP="00A66832">
      <w:pPr>
        <w:spacing w:after="240" w:line="240" w:lineRule="auto"/>
        <w:jc w:val="both"/>
        <w:rPr>
          <w:rFonts w:ascii="Arial" w:eastAsia="Times New Roman" w:hAnsi="Arial" w:cs="Arial"/>
          <w:i/>
          <w:iCs/>
          <w:color w:val="0000FF"/>
        </w:rPr>
      </w:pPr>
      <w:r w:rsidRPr="005A31CF">
        <w:rPr>
          <w:rFonts w:ascii="Arial" w:eastAsia="Times New Roman" w:hAnsi="Arial" w:cs="Arial"/>
          <w:b/>
          <w:bCs/>
          <w:i/>
          <w:iCs/>
          <w:color w:val="0000FF"/>
        </w:rPr>
        <w:t xml:space="preserve">OR </w:t>
      </w:r>
      <w:r w:rsidRPr="005A31CF">
        <w:rPr>
          <w:rFonts w:ascii="Arial" w:eastAsia="Times New Roman" w:hAnsi="Arial" w:cs="Arial"/>
          <w:i/>
          <w:iCs/>
          <w:color w:val="0000FF"/>
        </w:rPr>
        <w:t>(For colleges that have endowments in STIF, therefore, no Investments on SNP use the following for note 3.)</w:t>
      </w:r>
    </w:p>
    <w:p w14:paraId="34EF35D9" w14:textId="77777777" w:rsidR="005558B6" w:rsidRPr="00A66832" w:rsidRDefault="005558B6" w:rsidP="005D46CC">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4</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Donor Restricted Endowments</w:t>
      </w:r>
    </w:p>
    <w:p w14:paraId="57F187FE" w14:textId="75313FA4" w:rsidR="005558B6" w:rsidRPr="005A31CF" w:rsidRDefault="005558B6" w:rsidP="00A66832">
      <w:pPr>
        <w:spacing w:after="240" w:line="240" w:lineRule="auto"/>
        <w:jc w:val="both"/>
        <w:rPr>
          <w:rFonts w:ascii="Arial" w:eastAsia="Times New Roman" w:hAnsi="Arial" w:cs="Arial"/>
        </w:rPr>
      </w:pPr>
      <w:r w:rsidRPr="005A31CF">
        <w:rPr>
          <w:rFonts w:ascii="Arial" w:eastAsia="Times New Roman" w:hAnsi="Arial" w:cs="Arial"/>
        </w:rPr>
        <w:t>The College’s endowment assets are pooled with state agencies and similar institutions in short-term investments with the State Treasurer’s Cash and Investment Pool and are reported as restricted cash and cash equivalents - noncurrent on the accompanying financial statements. If a donor has not provided specific instructions, state law permits the Board of Trustees to authorize for expenditure the net appreciation, realized, and unrealized, of the assets of the endowment funds. Annual payouts from the College’s endowment funds are based on an adopted spending policy, which limits spending to 100% of the interest earnings unless the donor has stipul</w:t>
      </w:r>
      <w:r>
        <w:rPr>
          <w:rFonts w:ascii="Arial" w:eastAsia="Times New Roman" w:hAnsi="Arial" w:cs="Arial"/>
        </w:rPr>
        <w:t>ated otherwise. At June 30, 2022</w:t>
      </w:r>
      <w:r w:rsidRPr="005A31CF">
        <w:rPr>
          <w:rFonts w:ascii="Arial" w:eastAsia="Times New Roman" w:hAnsi="Arial" w:cs="Arial"/>
        </w:rPr>
        <w:t xml:space="preserve">, net appreciation of $________ was available to be spent, of which $_________ was classified in net position as </w:t>
      </w:r>
      <w:r w:rsidRPr="005A31CF">
        <w:rPr>
          <w:rFonts w:ascii="Arial" w:eastAsia="Times New Roman" w:hAnsi="Arial" w:cs="Arial"/>
          <w:b/>
          <w:color w:val="0000FF"/>
        </w:rPr>
        <w:t xml:space="preserve">[classification (i.e. restricted: expendable: </w:t>
      </w:r>
      <w:r w:rsidRPr="000F4163">
        <w:rPr>
          <w:rFonts w:ascii="Arial" w:eastAsia="Times New Roman" w:hAnsi="Arial" w:cs="Arial"/>
          <w:b/>
          <w:color w:val="0000FF"/>
          <w:highlight w:val="yellow"/>
        </w:rPr>
        <w:t>s</w:t>
      </w:r>
      <w:r w:rsidR="000F4163" w:rsidRPr="000F4163">
        <w:rPr>
          <w:rFonts w:ascii="Arial" w:eastAsia="Times New Roman" w:hAnsi="Arial" w:cs="Arial"/>
          <w:b/>
          <w:color w:val="0000FF"/>
          <w:highlight w:val="yellow"/>
        </w:rPr>
        <w:t>tudent financial aid</w:t>
      </w:r>
      <w:r w:rsidRPr="005A31CF">
        <w:rPr>
          <w:rFonts w:ascii="Arial" w:eastAsia="Times New Roman" w:hAnsi="Arial" w:cs="Arial"/>
          <w:b/>
          <w:color w:val="0000FF"/>
        </w:rPr>
        <w:t>)]</w:t>
      </w:r>
      <w:r w:rsidRPr="005A31CF">
        <w:rPr>
          <w:rFonts w:ascii="Arial" w:eastAsia="Times New Roman" w:hAnsi="Arial" w:cs="Arial"/>
        </w:rPr>
        <w:t xml:space="preserve"> as it is restricted for specific purposes. The remaining portion of net appreciation available to be spent is classified as unrestricted net position. </w:t>
      </w:r>
      <w:r w:rsidRPr="005A31CF">
        <w:rPr>
          <w:rFonts w:ascii="Arial" w:eastAsia="Times New Roman" w:hAnsi="Arial" w:cs="Arial"/>
          <w:b/>
          <w:i/>
          <w:color w:val="0000FF"/>
        </w:rPr>
        <w:t>[Modify as Necessary.]</w:t>
      </w:r>
    </w:p>
    <w:p w14:paraId="67FB0405" w14:textId="77777777" w:rsidR="005558B6" w:rsidRPr="00A66832" w:rsidRDefault="005558B6" w:rsidP="005D46CC">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5</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Receivables</w:t>
      </w:r>
    </w:p>
    <w:p w14:paraId="23D63179" w14:textId="77777777" w:rsidR="005558B6" w:rsidRPr="005A31CF" w:rsidRDefault="005558B6" w:rsidP="00A66832">
      <w:pPr>
        <w:spacing w:after="240" w:line="240" w:lineRule="auto"/>
        <w:jc w:val="both"/>
        <w:rPr>
          <w:rFonts w:ascii="Arial" w:eastAsia="Times New Roman" w:hAnsi="Arial" w:cs="Arial"/>
        </w:rPr>
      </w:pPr>
      <w:r>
        <w:rPr>
          <w:rFonts w:ascii="Arial" w:eastAsia="Times New Roman" w:hAnsi="Arial" w:cs="Arial"/>
        </w:rPr>
        <w:t>Receivables at June 30, 2022</w:t>
      </w:r>
      <w:r w:rsidRPr="005A31CF">
        <w:rPr>
          <w:rFonts w:ascii="Arial" w:eastAsia="Times New Roman" w:hAnsi="Arial" w:cs="Arial"/>
        </w:rPr>
        <w:t xml:space="preserve">, were as follows: </w:t>
      </w:r>
      <w:r w:rsidRPr="00632742">
        <w:rPr>
          <w:rFonts w:ascii="Arial" w:hAnsi="Arial" w:cs="Arial"/>
          <w:b/>
          <w:i/>
          <w:color w:val="0000FF"/>
        </w:rPr>
        <w:t xml:space="preserve">[Note to preparer: receivables related to the construction/acquisition of capital assets may be classified </w:t>
      </w:r>
      <w:r w:rsidRPr="00C61F85">
        <w:rPr>
          <w:rFonts w:ascii="Arial" w:hAnsi="Arial" w:cs="Arial"/>
          <w:b/>
          <w:i/>
          <w:color w:val="0000FF"/>
        </w:rPr>
        <w:t xml:space="preserve">as noncurrent unless a related current liability has been recorded </w:t>
      </w:r>
      <w:r w:rsidRPr="00C61F85">
        <w:rPr>
          <w:rFonts w:ascii="Arial" w:hAnsi="Arial" w:cs="Arial"/>
          <w:b/>
          <w:bCs/>
          <w:i/>
          <w:iCs/>
          <w:color w:val="0000FF"/>
        </w:rPr>
        <w:t>(i.e. receivable to be used for payment of payable classified as a current liability)</w:t>
      </w:r>
      <w:r w:rsidRPr="00C61F85">
        <w:rPr>
          <w:rFonts w:ascii="Arial" w:hAnsi="Arial" w:cs="Arial"/>
          <w:b/>
          <w:i/>
          <w:color w:val="0000FF"/>
        </w:rPr>
        <w:t xml:space="preserve">. </w:t>
      </w:r>
      <w:r w:rsidRPr="00C61F85">
        <w:rPr>
          <w:rFonts w:ascii="Arial" w:hAnsi="Arial" w:cs="Arial"/>
          <w:b/>
          <w:bCs/>
          <w:i/>
          <w:color w:val="0000FF"/>
        </w:rPr>
        <w:t xml:space="preserve">See GASB Codification 2200.176-177 and .744 </w:t>
      </w:r>
      <w:r w:rsidRPr="00C61F85">
        <w:rPr>
          <w:rFonts w:ascii="Arial" w:eastAsia="Times New Roman" w:hAnsi="Arial" w:cs="Arial"/>
          <w:b/>
          <w:bCs/>
          <w:i/>
          <w:color w:val="0000FF"/>
        </w:rPr>
        <w:t>for additional guidance.</w:t>
      </w:r>
      <w:r w:rsidRPr="00C61F85">
        <w:rPr>
          <w:rFonts w:ascii="Arial" w:eastAsia="Times New Roman" w:hAnsi="Arial" w:cs="Arial"/>
          <w:b/>
          <w:i/>
          <w:color w:val="0000FF"/>
        </w:rPr>
        <w:t>]</w:t>
      </w:r>
    </w:p>
    <w:bookmarkStart w:id="135" w:name="_MON_1188192186"/>
    <w:bookmarkStart w:id="136" w:name="_MON_1213769638"/>
    <w:bookmarkStart w:id="137" w:name="_MON_1286769743"/>
    <w:bookmarkStart w:id="138" w:name="_MON_1286773149"/>
    <w:bookmarkStart w:id="139" w:name="_MON_1305542667"/>
    <w:bookmarkStart w:id="140" w:name="_MON_1370758418"/>
    <w:bookmarkStart w:id="141" w:name="_MON_1336388106"/>
    <w:bookmarkStart w:id="142" w:name="_MON_1375524007"/>
    <w:bookmarkStart w:id="143" w:name="_MON_1375524045"/>
    <w:bookmarkStart w:id="144" w:name="_MON_1401187205"/>
    <w:bookmarkStart w:id="145" w:name="_MON_1119355218"/>
    <w:bookmarkStart w:id="146" w:name="_MON_1119355265"/>
    <w:bookmarkStart w:id="147" w:name="_MON_1119355359"/>
    <w:bookmarkStart w:id="148" w:name="_MON_114932032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Start w:id="149" w:name="_MON_1188192375"/>
    <w:bookmarkEnd w:id="149"/>
    <w:p w14:paraId="6B34B9E2" w14:textId="612C44A7" w:rsidR="005558B6" w:rsidRDefault="00DC73A5" w:rsidP="00A66832">
      <w:pPr>
        <w:spacing w:after="240" w:line="240" w:lineRule="auto"/>
        <w:jc w:val="center"/>
        <w:rPr>
          <w:rFonts w:ascii="Times New Roman" w:eastAsia="Times New Roman" w:hAnsi="Times New Roman" w:cs="Times New Roman"/>
          <w:sz w:val="24"/>
          <w:szCs w:val="20"/>
        </w:rPr>
      </w:pPr>
      <w:r>
        <w:object w:dxaOrig="9477" w:dyaOrig="8408" w14:anchorId="615261F8">
          <v:shape id="_x0000_i1033" type="#_x0000_t75" style="width:381.75pt;height:366.75pt" o:ole="">
            <v:imagedata r:id="rId30" o:title=""/>
          </v:shape>
          <o:OLEObject Type="Embed" ProgID="Excel.Sheet.12" ShapeID="_x0000_i1033" DrawAspect="Content" ObjectID="_1721553178" r:id="rId31"/>
        </w:object>
      </w:r>
    </w:p>
    <w:p w14:paraId="60CC0584" w14:textId="77777777" w:rsidR="005558B6" w:rsidRPr="005B66EC" w:rsidRDefault="005558B6" w:rsidP="00A66832">
      <w:pPr>
        <w:spacing w:after="240" w:line="240" w:lineRule="auto"/>
        <w:jc w:val="both"/>
        <w:rPr>
          <w:rFonts w:ascii="Arial" w:eastAsia="Times New Roman" w:hAnsi="Arial" w:cs="Arial"/>
          <w:b/>
          <w:i/>
          <w:color w:val="0000FF"/>
        </w:rPr>
      </w:pPr>
      <w:r w:rsidRPr="002C0121">
        <w:rPr>
          <w:rFonts w:ascii="Arial" w:eastAsia="Times New Roman" w:hAnsi="Arial" w:cs="Arial"/>
          <w:b/>
          <w:i/>
          <w:color w:val="0000FF"/>
          <w:highlight w:val="yellow"/>
        </w:rPr>
        <w:t>[Note to Preparer: If there is no allowance related to leases, the lease receivable can be omitted from disclosure.]</w:t>
      </w:r>
    </w:p>
    <w:p w14:paraId="0DFC80E2" w14:textId="77777777" w:rsidR="005558B6" w:rsidRPr="00A66832" w:rsidRDefault="005558B6" w:rsidP="005D46CC">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6</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Capital Assets</w:t>
      </w:r>
    </w:p>
    <w:p w14:paraId="2AE90F1B" w14:textId="77777777" w:rsidR="005558B6" w:rsidRPr="005A31CF" w:rsidRDefault="005558B6" w:rsidP="00A66832">
      <w:pPr>
        <w:spacing w:after="240" w:line="240" w:lineRule="auto"/>
        <w:jc w:val="both"/>
        <w:rPr>
          <w:rFonts w:ascii="Arial" w:eastAsia="Times New Roman" w:hAnsi="Arial" w:cs="Arial"/>
          <w:i/>
          <w:color w:val="0000FF"/>
        </w:rPr>
      </w:pPr>
      <w:r w:rsidRPr="005A31CF">
        <w:rPr>
          <w:rFonts w:ascii="Arial" w:eastAsia="Times New Roman" w:hAnsi="Arial" w:cs="Arial"/>
        </w:rPr>
        <w:t xml:space="preserve">A summary of changes in the capital assets </w:t>
      </w:r>
      <w:r>
        <w:rPr>
          <w:rFonts w:ascii="Arial" w:eastAsia="Times New Roman" w:hAnsi="Arial" w:cs="Arial"/>
        </w:rPr>
        <w:t>for the year ended June 30, 2022</w:t>
      </w:r>
      <w:r w:rsidRPr="005A31CF">
        <w:rPr>
          <w:rFonts w:ascii="Arial" w:eastAsia="Times New Roman" w:hAnsi="Arial" w:cs="Arial"/>
        </w:rPr>
        <w:t xml:space="preserve">, is presented as follows: </w:t>
      </w:r>
      <w:r w:rsidRPr="005A31CF">
        <w:rPr>
          <w:rFonts w:ascii="Arial" w:eastAsia="Times New Roman" w:hAnsi="Arial" w:cs="Arial"/>
          <w:b/>
          <w:i/>
          <w:color w:val="0000FF"/>
        </w:rPr>
        <w:t>[See below table for disclosures related to impairment of capital assets and insurance recoveries.]</w:t>
      </w:r>
    </w:p>
    <w:bookmarkStart w:id="150" w:name="_MON_1402754371"/>
    <w:bookmarkEnd w:id="150"/>
    <w:p w14:paraId="49F550B4" w14:textId="7E8FA641" w:rsidR="005558B6" w:rsidRDefault="009754E0" w:rsidP="00A66832">
      <w:pPr>
        <w:spacing w:after="240" w:line="240" w:lineRule="auto"/>
        <w:jc w:val="center"/>
        <w:rPr>
          <w:rFonts w:ascii="Univers (W1)" w:eastAsia="Times New Roman" w:hAnsi="Univers (W1)" w:cs="Times New Roman"/>
          <w:sz w:val="20"/>
          <w:szCs w:val="20"/>
        </w:rPr>
      </w:pPr>
      <w:r w:rsidRPr="00002CBD">
        <w:rPr>
          <w:rFonts w:ascii="Univers (W1)" w:eastAsia="Times New Roman" w:hAnsi="Univers (W1)" w:cs="Times New Roman"/>
          <w:sz w:val="20"/>
          <w:szCs w:val="20"/>
        </w:rPr>
        <w:object w:dxaOrig="10452" w:dyaOrig="11886" w14:anchorId="0F664DE3">
          <v:shape id="_x0000_i1034" type="#_x0000_t75" style="width:438.75pt;height:540pt" o:ole="">
            <v:imagedata r:id="rId32" o:title=""/>
          </v:shape>
          <o:OLEObject Type="Embed" ProgID="Excel.Sheet.12" ShapeID="_x0000_i1034" DrawAspect="Content" ObjectID="_1721553179" r:id="rId33"/>
        </w:object>
      </w:r>
    </w:p>
    <w:p w14:paraId="6325F7AF" w14:textId="77777777" w:rsidR="005558B6" w:rsidRPr="005010B7" w:rsidRDefault="005558B6" w:rsidP="00A66832">
      <w:pPr>
        <w:spacing w:after="240" w:line="240" w:lineRule="auto"/>
        <w:jc w:val="both"/>
        <w:rPr>
          <w:rFonts w:ascii="Arial" w:eastAsia="Times New Roman" w:hAnsi="Arial" w:cs="Arial"/>
        </w:rPr>
      </w:pPr>
      <w:r w:rsidRPr="00131A1C">
        <w:rPr>
          <w:rFonts w:ascii="Arial" w:eastAsia="Times New Roman" w:hAnsi="Arial" w:cs="Arial"/>
          <w:highlight w:val="yellow"/>
        </w:rPr>
        <w:t>At year-end, the total amount of leased assets was $________ and the related accumulated amortization was $_________.</w:t>
      </w:r>
    </w:p>
    <w:p w14:paraId="429BDCCD" w14:textId="77777777" w:rsidR="005558B6" w:rsidRPr="005A31CF" w:rsidRDefault="005558B6" w:rsidP="00A66832">
      <w:pPr>
        <w:spacing w:after="240" w:line="240" w:lineRule="auto"/>
        <w:jc w:val="both"/>
        <w:rPr>
          <w:rFonts w:ascii="Arial" w:eastAsia="Times New Roman" w:hAnsi="Arial" w:cs="Arial"/>
        </w:rPr>
      </w:pPr>
      <w:r w:rsidRPr="005A31CF">
        <w:rPr>
          <w:rFonts w:ascii="Arial" w:eastAsia="Times New Roman" w:hAnsi="Arial" w:cs="Arial"/>
          <w:b/>
          <w:bCs/>
          <w:i/>
          <w:color w:val="0000FF"/>
        </w:rPr>
        <w:t xml:space="preserve">[Note to Preparer: If the College has more than one category of Intangible Assets, they must be broken out by type (see OSC’s Intangible Assets Policy) in each section: Nondepreciable, Depreciable, and Accumulated Depreciation. Example categories </w:t>
      </w:r>
      <w:r w:rsidRPr="005A31CF">
        <w:rPr>
          <w:rFonts w:ascii="Arial" w:eastAsia="Times New Roman" w:hAnsi="Arial" w:cs="Arial"/>
          <w:b/>
          <w:bCs/>
          <w:i/>
          <w:color w:val="0000FF"/>
        </w:rPr>
        <w:lastRenderedPageBreak/>
        <w:t>include: Easements; Land Use Rights; and Patents, Copyrights, and Trademarks. See GASB 51 for further guidance</w:t>
      </w:r>
      <w:r w:rsidRPr="005A31CF">
        <w:rPr>
          <w:rFonts w:ascii="Arial" w:eastAsia="Times New Roman" w:hAnsi="Arial" w:cs="Arial"/>
          <w:b/>
          <w:i/>
          <w:color w:val="0000FF"/>
        </w:rPr>
        <w:t>.]</w:t>
      </w:r>
    </w:p>
    <w:p w14:paraId="70727159" w14:textId="77777777" w:rsidR="005558B6" w:rsidRPr="005A31CF" w:rsidRDefault="005558B6" w:rsidP="00A66832">
      <w:pPr>
        <w:spacing w:after="240" w:line="240" w:lineRule="auto"/>
        <w:jc w:val="both"/>
        <w:rPr>
          <w:rFonts w:ascii="Arial" w:eastAsia="Times New Roman" w:hAnsi="Arial" w:cs="Arial"/>
        </w:rPr>
      </w:pPr>
      <w:r w:rsidRPr="005A31CF">
        <w:rPr>
          <w:rFonts w:ascii="Arial" w:eastAsia="Times New Roman" w:hAnsi="Arial" w:cs="Arial"/>
        </w:rPr>
        <w:t xml:space="preserve">The carrying amount of impaired capital assets idle at </w:t>
      </w:r>
      <w:r w:rsidRPr="0082623A">
        <w:rPr>
          <w:rFonts w:ascii="Arial" w:eastAsia="Times New Roman" w:hAnsi="Arial" w:cs="Arial"/>
        </w:rPr>
        <w:t>year</w:t>
      </w:r>
      <w:r w:rsidRPr="00F34E2E">
        <w:rPr>
          <w:rFonts w:ascii="Arial" w:eastAsia="Times New Roman" w:hAnsi="Arial" w:cs="Arial"/>
        </w:rPr>
        <w:t>-</w:t>
      </w:r>
      <w:r w:rsidRPr="0082623A">
        <w:rPr>
          <w:rFonts w:ascii="Arial" w:eastAsia="Times New Roman" w:hAnsi="Arial" w:cs="Arial"/>
        </w:rPr>
        <w:t>end</w:t>
      </w:r>
      <w:r w:rsidRPr="005A31CF">
        <w:rPr>
          <w:rFonts w:ascii="Arial" w:eastAsia="Times New Roman" w:hAnsi="Arial" w:cs="Arial"/>
        </w:rPr>
        <w:t xml:space="preserve"> is $_______ for buildings and $_______ for machinery and equipment.</w:t>
      </w:r>
    </w:p>
    <w:p w14:paraId="71734B1B" w14:textId="77777777" w:rsidR="005558B6" w:rsidRDefault="005558B6" w:rsidP="00A66832">
      <w:pPr>
        <w:spacing w:after="240" w:line="240" w:lineRule="auto"/>
        <w:jc w:val="both"/>
        <w:rPr>
          <w:rFonts w:ascii="Arial" w:eastAsia="Times New Roman" w:hAnsi="Arial" w:cs="Arial"/>
          <w:b/>
          <w:i/>
          <w:color w:val="0000FF"/>
        </w:rPr>
      </w:pPr>
      <w:r w:rsidRPr="003A3744">
        <w:rPr>
          <w:rFonts w:ascii="Arial" w:eastAsia="Times New Roman" w:hAnsi="Arial" w:cs="Arial"/>
        </w:rPr>
        <w:t>Supplies and services expense includes an impairment loss of $_______ due to __________, which is net of an insurance recovery of $_________. In addition, nonoperating revenues include</w:t>
      </w:r>
      <w:r w:rsidRPr="005A31CF">
        <w:rPr>
          <w:rFonts w:ascii="Arial" w:eastAsia="Times New Roman" w:hAnsi="Arial" w:cs="Arial"/>
        </w:rPr>
        <w:t xml:space="preserve"> an insurance recovery of ______ related to prior year impairments.</w:t>
      </w:r>
      <w:r>
        <w:rPr>
          <w:rFonts w:ascii="Arial" w:eastAsia="Times New Roman" w:hAnsi="Arial" w:cs="Arial"/>
        </w:rPr>
        <w:t xml:space="preserve"> </w:t>
      </w:r>
      <w:r w:rsidRPr="00F34E2E">
        <w:rPr>
          <w:rFonts w:ascii="Arial" w:eastAsia="Times New Roman" w:hAnsi="Arial" w:cs="Arial"/>
          <w:b/>
          <w:i/>
          <w:color w:val="0000FF"/>
        </w:rPr>
        <w:t>[See GASB 42 for additional requirements regarding capital asset impairments.]</w:t>
      </w:r>
    </w:p>
    <w:p w14:paraId="6F153AAD" w14:textId="77777777" w:rsidR="005558B6" w:rsidRDefault="005558B6" w:rsidP="00A66832">
      <w:pPr>
        <w:spacing w:after="240" w:line="240" w:lineRule="auto"/>
        <w:jc w:val="both"/>
        <w:rPr>
          <w:rFonts w:ascii="Arial" w:eastAsia="Times New Roman" w:hAnsi="Arial" w:cs="Arial"/>
          <w:b/>
          <w:i/>
          <w:color w:val="0000FF"/>
        </w:rPr>
      </w:pPr>
      <w:r w:rsidRPr="00772BDB">
        <w:rPr>
          <w:rFonts w:ascii="Arial" w:eastAsia="Times New Roman" w:hAnsi="Arial" w:cs="Arial"/>
          <w:b/>
          <w:i/>
          <w:color w:val="0000FF"/>
        </w:rPr>
        <w:t>[Note to Preparer: If the College has significant assets that were recorded at acquisition value, explain the methods that were used to determine the asset’s value.]</w:t>
      </w:r>
    </w:p>
    <w:p w14:paraId="1C78E008" w14:textId="77777777" w:rsidR="005558B6" w:rsidRPr="00A66832" w:rsidRDefault="005558B6" w:rsidP="005D46CC">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7</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Accounts Payable and Accrued Liabilities</w:t>
      </w:r>
    </w:p>
    <w:p w14:paraId="64375D02" w14:textId="77777777" w:rsidR="005558B6" w:rsidRPr="005A31CF" w:rsidRDefault="005558B6" w:rsidP="00A66832">
      <w:pPr>
        <w:spacing w:after="240" w:line="240" w:lineRule="auto"/>
        <w:jc w:val="both"/>
        <w:rPr>
          <w:rFonts w:ascii="Arial" w:eastAsia="Times New Roman" w:hAnsi="Arial" w:cs="Arial"/>
          <w:b/>
          <w:i/>
          <w:color w:val="000000"/>
        </w:rPr>
      </w:pPr>
      <w:r w:rsidRPr="005A31CF">
        <w:rPr>
          <w:rFonts w:ascii="Arial" w:eastAsia="Times New Roman" w:hAnsi="Arial" w:cs="Arial"/>
        </w:rPr>
        <w:t>Accounts payable and accr</w:t>
      </w:r>
      <w:r>
        <w:rPr>
          <w:rFonts w:ascii="Arial" w:eastAsia="Times New Roman" w:hAnsi="Arial" w:cs="Arial"/>
        </w:rPr>
        <w:t>ued liabilities at June 30, 2022</w:t>
      </w:r>
      <w:r w:rsidRPr="005A31CF">
        <w:rPr>
          <w:rFonts w:ascii="Arial" w:eastAsia="Times New Roman" w:hAnsi="Arial" w:cs="Arial"/>
        </w:rPr>
        <w:t xml:space="preserve">, were as follows: </w:t>
      </w:r>
      <w:r w:rsidRPr="005A31CF">
        <w:rPr>
          <w:rFonts w:ascii="Arial" w:eastAsia="Times New Roman" w:hAnsi="Arial" w:cs="Arial"/>
          <w:b/>
          <w:bCs/>
          <w:i/>
          <w:color w:val="0000FF"/>
        </w:rPr>
        <w:t>[Note to preparer: Delete noncurrent section if not applicable.]</w:t>
      </w:r>
    </w:p>
    <w:bookmarkStart w:id="151" w:name="_MON_1188285277"/>
    <w:bookmarkStart w:id="152" w:name="_MON_1192364366"/>
    <w:bookmarkStart w:id="153" w:name="_MON_1220941528"/>
    <w:bookmarkStart w:id="154" w:name="_MON_1220941701"/>
    <w:bookmarkStart w:id="155" w:name="_MON_1302418682"/>
    <w:bookmarkStart w:id="156" w:name="_MON_1118933529"/>
    <w:bookmarkStart w:id="157" w:name="_MON_1118933535"/>
    <w:bookmarkStart w:id="158" w:name="_MON_1118934610"/>
    <w:bookmarkStart w:id="159" w:name="_MON_1119000524"/>
    <w:bookmarkStart w:id="160" w:name="_MON_1119000550"/>
    <w:bookmarkStart w:id="161" w:name="_MON_1119089011"/>
    <w:bookmarkEnd w:id="151"/>
    <w:bookmarkEnd w:id="152"/>
    <w:bookmarkEnd w:id="153"/>
    <w:bookmarkEnd w:id="154"/>
    <w:bookmarkEnd w:id="155"/>
    <w:bookmarkEnd w:id="156"/>
    <w:bookmarkEnd w:id="157"/>
    <w:bookmarkEnd w:id="158"/>
    <w:bookmarkEnd w:id="159"/>
    <w:bookmarkEnd w:id="160"/>
    <w:bookmarkEnd w:id="161"/>
    <w:bookmarkStart w:id="162" w:name="_MON_1188274037"/>
    <w:bookmarkEnd w:id="162"/>
    <w:p w14:paraId="3AF80838" w14:textId="77777777" w:rsidR="005558B6" w:rsidRPr="005A31CF" w:rsidRDefault="005558B6" w:rsidP="00A66832">
      <w:pPr>
        <w:spacing w:after="240" w:line="240" w:lineRule="auto"/>
        <w:jc w:val="center"/>
        <w:rPr>
          <w:rFonts w:ascii="Arial" w:eastAsia="Times New Roman" w:hAnsi="Arial" w:cs="Arial"/>
          <w:b/>
          <w:i/>
          <w:color w:val="0000FF"/>
        </w:rPr>
      </w:pPr>
      <w:r w:rsidRPr="005A31CF">
        <w:rPr>
          <w:rFonts w:ascii="Univers (W1)" w:eastAsia="Times New Roman" w:hAnsi="Univers (W1)" w:cs="Times New Roman"/>
          <w:sz w:val="20"/>
          <w:szCs w:val="20"/>
        </w:rPr>
        <w:object w:dxaOrig="7178" w:dyaOrig="4175" w14:anchorId="62C6AC4B">
          <v:shape id="_x0000_i1035" type="#_x0000_t75" style="width:309pt;height:194.25pt" o:ole="">
            <v:imagedata r:id="rId34" o:title=""/>
          </v:shape>
          <o:OLEObject Type="Embed" ProgID="Excel.Sheet.12" ShapeID="_x0000_i1035" DrawAspect="Content" ObjectID="_1721553180" r:id="rId35"/>
        </w:object>
      </w:r>
    </w:p>
    <w:p w14:paraId="586014CC" w14:textId="77777777" w:rsidR="005558B6" w:rsidRPr="00A66832" w:rsidRDefault="005558B6" w:rsidP="005D46CC">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8</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Short</w:t>
      </w:r>
      <w:r w:rsidRPr="00A66832">
        <w:rPr>
          <w:rFonts w:ascii="Arial Bold" w:eastAsia="Times New Roman" w:hAnsi="Arial Bold" w:cs="Times New Roman"/>
          <w:b/>
          <w:smallCaps/>
          <w:kern w:val="28"/>
          <w:szCs w:val="20"/>
        </w:rPr>
        <w:noBreakHyphen/>
        <w:t xml:space="preserve">Term Debt - </w:t>
      </w:r>
      <w:r w:rsidRPr="00817308">
        <w:rPr>
          <w:rFonts w:ascii="Arial Bold" w:eastAsia="Times New Roman" w:hAnsi="Arial Bold" w:cs="Times New Roman"/>
          <w:b/>
          <w:smallCaps/>
          <w:color w:val="0000FF"/>
          <w:kern w:val="28"/>
          <w:szCs w:val="20"/>
        </w:rPr>
        <w:t>[Type]</w:t>
      </w:r>
    </w:p>
    <w:p w14:paraId="790AC8BF" w14:textId="77777777" w:rsidR="005558B6" w:rsidRPr="005A31CF" w:rsidRDefault="005558B6" w:rsidP="00A66832">
      <w:pPr>
        <w:spacing w:after="240" w:line="240" w:lineRule="auto"/>
        <w:jc w:val="both"/>
        <w:rPr>
          <w:rFonts w:ascii="Arial" w:eastAsia="Times New Roman" w:hAnsi="Arial" w:cs="Arial"/>
          <w:b/>
          <w:i/>
          <w:color w:val="0000FF"/>
        </w:rPr>
      </w:pPr>
      <w:r w:rsidRPr="005A31CF">
        <w:rPr>
          <w:rFonts w:ascii="Arial" w:eastAsia="Times New Roman" w:hAnsi="Arial" w:cs="Arial"/>
          <w:b/>
          <w:i/>
          <w:color w:val="0000FF"/>
        </w:rPr>
        <w:t>[Describe the short</w:t>
      </w:r>
      <w:r w:rsidRPr="005A31CF">
        <w:rPr>
          <w:rFonts w:ascii="Arial" w:eastAsia="Times New Roman" w:hAnsi="Arial" w:cs="Arial"/>
          <w:b/>
          <w:i/>
          <w:color w:val="0000FF"/>
        </w:rPr>
        <w:noBreakHyphen/>
        <w:t>term debt. Example: The College uses a revolving line of credit to finance _______________. This line of credit was necessary to __________________. (Note: Activity must be described even if no outstanding balance at year</w:t>
      </w:r>
      <w:r w:rsidRPr="005A31CF">
        <w:rPr>
          <w:rFonts w:ascii="Arial" w:eastAsia="Times New Roman" w:hAnsi="Arial" w:cs="Arial"/>
          <w:b/>
          <w:i/>
          <w:color w:val="0000FF"/>
        </w:rPr>
        <w:noBreakHyphen/>
        <w:t>end - see GASB 38, paragraph 12.)]</w:t>
      </w:r>
    </w:p>
    <w:p w14:paraId="2DC44425" w14:textId="77777777" w:rsidR="005558B6" w:rsidRPr="005A31CF" w:rsidRDefault="005558B6" w:rsidP="00A66832">
      <w:pPr>
        <w:spacing w:after="240" w:line="240" w:lineRule="auto"/>
        <w:jc w:val="both"/>
        <w:rPr>
          <w:rFonts w:ascii="Arial" w:eastAsia="Times New Roman" w:hAnsi="Arial" w:cs="Arial"/>
          <w:b/>
          <w:i/>
          <w:color w:val="0000FF"/>
        </w:rPr>
      </w:pPr>
      <w:r w:rsidRPr="004F3E7A">
        <w:rPr>
          <w:rFonts w:ascii="Arial" w:eastAsia="Times New Roman" w:hAnsi="Arial" w:cs="Arial"/>
          <w:b/>
          <w:i/>
          <w:color w:val="0000FF"/>
        </w:rPr>
        <w:t>[See GASB Statement 62 paragraph 36-4</w:t>
      </w:r>
      <w:r w:rsidRPr="003E1ABE">
        <w:rPr>
          <w:rFonts w:ascii="Arial" w:eastAsia="Times New Roman" w:hAnsi="Arial" w:cs="Arial"/>
          <w:b/>
          <w:i/>
          <w:color w:val="0000FF"/>
        </w:rPr>
        <w:t>0</w:t>
      </w:r>
      <w:r>
        <w:rPr>
          <w:rFonts w:ascii="Arial" w:eastAsia="Times New Roman" w:hAnsi="Arial" w:cs="Arial"/>
          <w:b/>
          <w:i/>
          <w:color w:val="0000FF"/>
        </w:rPr>
        <w:t xml:space="preserve"> for classification criteria regarding anticipation notes.</w:t>
      </w:r>
      <w:r w:rsidRPr="00D21499">
        <w:rPr>
          <w:rFonts w:ascii="Arial" w:eastAsia="Times New Roman" w:hAnsi="Arial" w:cs="Arial"/>
          <w:b/>
          <w:i/>
          <w:color w:val="0000FF"/>
        </w:rPr>
        <w:t>]</w:t>
      </w:r>
    </w:p>
    <w:p w14:paraId="5D77038D" w14:textId="77777777" w:rsidR="005558B6" w:rsidRPr="005A31CF" w:rsidRDefault="005558B6" w:rsidP="00A66832">
      <w:pPr>
        <w:spacing w:after="240" w:line="240" w:lineRule="auto"/>
        <w:jc w:val="both"/>
        <w:rPr>
          <w:rFonts w:ascii="Arial" w:eastAsia="Times New Roman" w:hAnsi="Arial" w:cs="Arial"/>
          <w:bCs/>
          <w:iCs/>
        </w:rPr>
      </w:pPr>
      <w:r w:rsidRPr="005A31CF">
        <w:rPr>
          <w:rFonts w:ascii="Arial" w:eastAsia="Times New Roman" w:hAnsi="Arial" w:cs="Arial"/>
          <w:bCs/>
          <w:iCs/>
        </w:rPr>
        <w:t xml:space="preserve">Short-term debt activity </w:t>
      </w:r>
      <w:r>
        <w:rPr>
          <w:rFonts w:ascii="Arial" w:eastAsia="Times New Roman" w:hAnsi="Arial" w:cs="Arial"/>
          <w:bCs/>
          <w:iCs/>
        </w:rPr>
        <w:t>for the year ended June 30, 2022</w:t>
      </w:r>
      <w:r w:rsidRPr="005A31CF">
        <w:rPr>
          <w:rFonts w:ascii="Arial" w:eastAsia="Times New Roman" w:hAnsi="Arial" w:cs="Arial"/>
          <w:bCs/>
          <w:iCs/>
        </w:rPr>
        <w:t>, was as follows:</w:t>
      </w:r>
    </w:p>
    <w:bookmarkStart w:id="163" w:name="_MON_1300514102"/>
    <w:bookmarkStart w:id="164" w:name="_MON_1302418654"/>
    <w:bookmarkStart w:id="165" w:name="_MON_1331964715"/>
    <w:bookmarkStart w:id="166" w:name="_MON_1401869034"/>
    <w:bookmarkStart w:id="167" w:name="_MON_1421219455"/>
    <w:bookmarkStart w:id="168" w:name="_MON_1220941751"/>
    <w:bookmarkStart w:id="169" w:name="_MON_1220942106"/>
    <w:bookmarkStart w:id="170" w:name="_MON_1220942193"/>
    <w:bookmarkStart w:id="171" w:name="_MON_1243143828"/>
    <w:bookmarkStart w:id="172" w:name="_MON_1264506653"/>
    <w:bookmarkEnd w:id="163"/>
    <w:bookmarkEnd w:id="164"/>
    <w:bookmarkEnd w:id="165"/>
    <w:bookmarkEnd w:id="166"/>
    <w:bookmarkEnd w:id="167"/>
    <w:bookmarkEnd w:id="168"/>
    <w:bookmarkEnd w:id="169"/>
    <w:bookmarkEnd w:id="170"/>
    <w:bookmarkEnd w:id="171"/>
    <w:bookmarkEnd w:id="172"/>
    <w:bookmarkStart w:id="173" w:name="_MON_1283839073"/>
    <w:bookmarkEnd w:id="173"/>
    <w:p w14:paraId="39D01655" w14:textId="77777777" w:rsidR="005558B6" w:rsidRDefault="005558B6" w:rsidP="00A66832">
      <w:pPr>
        <w:spacing w:after="240" w:line="240" w:lineRule="auto"/>
        <w:jc w:val="center"/>
        <w:rPr>
          <w:rFonts w:ascii="Times New Roman" w:eastAsia="Times New Roman" w:hAnsi="Times New Roman" w:cs="Times New Roman"/>
          <w:sz w:val="24"/>
          <w:szCs w:val="20"/>
        </w:rPr>
      </w:pPr>
      <w:r w:rsidRPr="008E5501">
        <w:rPr>
          <w:rFonts w:ascii="Times New Roman" w:eastAsia="Times New Roman" w:hAnsi="Times New Roman" w:cs="Times New Roman"/>
          <w:sz w:val="24"/>
          <w:szCs w:val="20"/>
        </w:rPr>
        <w:object w:dxaOrig="8670" w:dyaOrig="2325" w14:anchorId="7ACCA73D">
          <v:shape id="_x0000_i1036" type="#_x0000_t75" style="width:352.5pt;height:100.5pt" o:ole="">
            <v:imagedata r:id="rId36" o:title=""/>
          </v:shape>
          <o:OLEObject Type="Embed" ProgID="Excel.Sheet.12" ShapeID="_x0000_i1036" DrawAspect="Content" ObjectID="_1721553181" r:id="rId37"/>
        </w:object>
      </w:r>
    </w:p>
    <w:p w14:paraId="7EF59A1C" w14:textId="77777777" w:rsidR="005558B6" w:rsidRPr="00B166BA" w:rsidRDefault="005558B6" w:rsidP="00A66832">
      <w:pPr>
        <w:spacing w:after="240" w:line="240" w:lineRule="auto"/>
        <w:jc w:val="both"/>
        <w:rPr>
          <w:rFonts w:ascii="Arial" w:eastAsia="Times New Roman" w:hAnsi="Arial" w:cs="Arial"/>
          <w:b/>
          <w:color w:val="0000FF"/>
        </w:rPr>
      </w:pPr>
      <w:r w:rsidRPr="00F34E2E">
        <w:rPr>
          <w:rFonts w:ascii="Arial" w:eastAsia="Times New Roman" w:hAnsi="Arial" w:cs="Arial"/>
          <w:b/>
        </w:rPr>
        <w:t>Unused Line</w:t>
      </w:r>
      <w:r w:rsidRPr="00F34E2E">
        <w:rPr>
          <w:rFonts w:ascii="Arial" w:eastAsia="Times New Roman" w:hAnsi="Arial" w:cs="Arial"/>
          <w:b/>
          <w:color w:val="0000FF"/>
        </w:rPr>
        <w:t>(s)</w:t>
      </w:r>
      <w:r w:rsidRPr="00F34E2E">
        <w:rPr>
          <w:rFonts w:ascii="Arial" w:eastAsia="Times New Roman" w:hAnsi="Arial" w:cs="Arial"/>
          <w:b/>
        </w:rPr>
        <w:t xml:space="preserve"> of Credit</w:t>
      </w:r>
      <w:r w:rsidRPr="00F34E2E">
        <w:rPr>
          <w:rFonts w:ascii="Arial" w:eastAsia="Times New Roman" w:hAnsi="Arial" w:cs="Arial"/>
        </w:rPr>
        <w:t xml:space="preserve"> - </w:t>
      </w:r>
      <w:r w:rsidRPr="00F34E2E">
        <w:rPr>
          <w:rFonts w:ascii="Arial" w:eastAsia="Times New Roman" w:hAnsi="Arial" w:cs="Arial"/>
          <w:b/>
          <w:i/>
          <w:color w:val="0000FF"/>
        </w:rPr>
        <w:t>[If no current year activity (draws/repayments) or ending balance, remove table and include only this paragraph]</w:t>
      </w:r>
      <w:r w:rsidRPr="00F34E2E">
        <w:rPr>
          <w:rFonts w:ascii="Arial" w:eastAsia="Times New Roman" w:hAnsi="Arial" w:cs="Arial"/>
        </w:rPr>
        <w:t xml:space="preserve"> The College has a line of credit agreement with </w:t>
      </w:r>
      <w:r w:rsidRPr="00F34E2E">
        <w:rPr>
          <w:rFonts w:ascii="Arial" w:eastAsia="Times New Roman" w:hAnsi="Arial" w:cs="Arial"/>
          <w:b/>
          <w:color w:val="0000FF"/>
        </w:rPr>
        <w:t>[financing entity]</w:t>
      </w:r>
      <w:r w:rsidRPr="00F34E2E">
        <w:rPr>
          <w:rFonts w:ascii="Arial" w:eastAsia="Times New Roman" w:hAnsi="Arial" w:cs="Arial"/>
        </w:rPr>
        <w:t xml:space="preserve"> for financing of an amount up to $________. This line was unused during the year ended June 30, 202</w:t>
      </w:r>
      <w:r>
        <w:rPr>
          <w:rFonts w:ascii="Arial" w:eastAsia="Times New Roman" w:hAnsi="Arial" w:cs="Arial"/>
        </w:rPr>
        <w:t>2</w:t>
      </w:r>
      <w:r w:rsidRPr="00F34E2E">
        <w:rPr>
          <w:rFonts w:ascii="Arial" w:eastAsia="Times New Roman" w:hAnsi="Arial" w:cs="Arial"/>
        </w:rPr>
        <w:t xml:space="preserve"> and has no outstanding balance. </w:t>
      </w:r>
      <w:r w:rsidRPr="00F34E2E">
        <w:rPr>
          <w:rFonts w:ascii="Arial" w:eastAsia="Times New Roman" w:hAnsi="Arial" w:cs="Arial"/>
          <w:b/>
          <w:i/>
          <w:color w:val="0000FF"/>
        </w:rPr>
        <w:t>[Omit if not applicable. Modify as necessary</w:t>
      </w:r>
      <w:r w:rsidRPr="00F34E2E">
        <w:rPr>
          <w:rFonts w:ascii="Arial" w:eastAsia="Times New Roman" w:hAnsi="Arial" w:cs="Arial"/>
          <w:b/>
          <w:color w:val="0000FF"/>
        </w:rPr>
        <w:t>]</w:t>
      </w:r>
    </w:p>
    <w:p w14:paraId="2F261F35" w14:textId="77777777" w:rsidR="005558B6" w:rsidRPr="00064FE9" w:rsidRDefault="005558B6" w:rsidP="00A66832">
      <w:pPr>
        <w:spacing w:after="240" w:line="240" w:lineRule="auto"/>
        <w:jc w:val="both"/>
        <w:rPr>
          <w:rFonts w:ascii="Times New Roman" w:eastAsia="Times New Roman" w:hAnsi="Times New Roman" w:cs="Times New Roman"/>
          <w:sz w:val="24"/>
          <w:szCs w:val="20"/>
        </w:rPr>
      </w:pPr>
      <w:r w:rsidRPr="00F34E2E">
        <w:rPr>
          <w:rFonts w:ascii="Arial" w:hAnsi="Arial" w:cs="Arial"/>
          <w:b/>
          <w:i/>
          <w:color w:val="0000FF"/>
        </w:rPr>
        <w:t>[GASB 88 also requires the following disclosures if applicable to short-term debt agreements: Assets pledged as collateral for short-term debt, or terms specified in short-term debt agreements related to significant (1) events of default with finance-related consequences, (2) termination events with finance-related consequences, and (3) subjective acceleration clauses]</w:t>
      </w:r>
    </w:p>
    <w:p w14:paraId="6487F19E"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9</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Long</w:t>
      </w:r>
      <w:r w:rsidRPr="00A66832">
        <w:rPr>
          <w:rFonts w:ascii="Arial Bold" w:eastAsia="Times New Roman" w:hAnsi="Arial Bold" w:cs="Times New Roman"/>
          <w:b/>
          <w:smallCaps/>
          <w:kern w:val="28"/>
          <w:szCs w:val="20"/>
        </w:rPr>
        <w:noBreakHyphen/>
        <w:t>Term Liabilities</w:t>
      </w:r>
    </w:p>
    <w:p w14:paraId="4E4D3189" w14:textId="37CF84F3" w:rsidR="005558B6" w:rsidRPr="005A31CF" w:rsidRDefault="005558B6" w:rsidP="00A66832">
      <w:pPr>
        <w:tabs>
          <w:tab w:val="left" w:pos="1080"/>
        </w:tabs>
        <w:spacing w:after="240" w:line="240" w:lineRule="auto"/>
        <w:jc w:val="both"/>
        <w:rPr>
          <w:rFonts w:ascii="Arial" w:eastAsia="Times New Roman" w:hAnsi="Arial" w:cs="Arial"/>
          <w:b/>
          <w:i/>
          <w:color w:val="0000FF"/>
        </w:rPr>
      </w:pPr>
      <w:r w:rsidRPr="00F34E2E">
        <w:rPr>
          <w:rFonts w:ascii="Arial" w:eastAsia="Times New Roman" w:hAnsi="Arial" w:cs="Arial"/>
          <w:b/>
          <w:i/>
          <w:color w:val="0000FF"/>
          <w:u w:val="single"/>
        </w:rPr>
        <w:t>Note to preparer:</w:t>
      </w:r>
      <w:r w:rsidRPr="00F34E2E">
        <w:rPr>
          <w:rFonts w:ascii="Arial" w:eastAsia="Times New Roman" w:hAnsi="Arial" w:cs="Arial"/>
          <w:b/>
          <w:i/>
          <w:color w:val="0000FF"/>
        </w:rPr>
        <w:t xml:space="preserve"> Per GASB 88, direct borrowing</w:t>
      </w:r>
      <w:r w:rsidR="007D465A">
        <w:rPr>
          <w:rFonts w:ascii="Arial" w:eastAsia="Times New Roman" w:hAnsi="Arial" w:cs="Arial"/>
          <w:b/>
          <w:i/>
          <w:color w:val="0000FF"/>
        </w:rPr>
        <w:t>s</w:t>
      </w:r>
      <w:r w:rsidRPr="00F34E2E">
        <w:rPr>
          <w:rFonts w:ascii="Arial" w:eastAsia="Times New Roman" w:hAnsi="Arial" w:cs="Arial"/>
          <w:b/>
          <w:i/>
          <w:color w:val="0000FF"/>
        </w:rPr>
        <w:t xml:space="preserve"> are those with terms directly negotiated with the lender. GASB 88 paragraph 6 requires that information related to direct borrowings be separated from other debt in the notes to the financial statements.</w:t>
      </w:r>
    </w:p>
    <w:p w14:paraId="02722745" w14:textId="77777777" w:rsidR="005558B6" w:rsidRDefault="005558B6" w:rsidP="00A66832">
      <w:pPr>
        <w:numPr>
          <w:ilvl w:val="0"/>
          <w:numId w:val="29"/>
        </w:numPr>
        <w:spacing w:after="240" w:line="240" w:lineRule="auto"/>
        <w:ind w:left="360"/>
        <w:jc w:val="both"/>
        <w:rPr>
          <w:rFonts w:ascii="Arial" w:eastAsia="Times New Roman" w:hAnsi="Arial" w:cs="Arial"/>
        </w:rPr>
      </w:pPr>
      <w:r w:rsidRPr="006B14C5">
        <w:rPr>
          <w:rFonts w:ascii="Arial" w:eastAsia="Times New Roman" w:hAnsi="Arial" w:cs="Arial"/>
          <w:b/>
          <w:bCs/>
        </w:rPr>
        <w:t xml:space="preserve">Changes in Long-Term Liabilities </w:t>
      </w:r>
      <w:r w:rsidRPr="006B14C5">
        <w:rPr>
          <w:rFonts w:ascii="Arial" w:eastAsia="Times New Roman" w:hAnsi="Arial" w:cs="Arial"/>
          <w:bCs/>
        </w:rPr>
        <w:t>-</w:t>
      </w:r>
      <w:r w:rsidRPr="006B14C5">
        <w:rPr>
          <w:rFonts w:ascii="Arial" w:eastAsia="Times New Roman" w:hAnsi="Arial" w:cs="Arial"/>
          <w:b/>
          <w:bCs/>
        </w:rPr>
        <w:t xml:space="preserve"> </w:t>
      </w:r>
      <w:r w:rsidRPr="006B14C5">
        <w:rPr>
          <w:rFonts w:ascii="Arial" w:eastAsia="Times New Roman" w:hAnsi="Arial" w:cs="Arial"/>
        </w:rPr>
        <w:t>A summary of changes in the long-term liabilities for the year ended June 30, 202</w:t>
      </w:r>
      <w:r>
        <w:rPr>
          <w:rFonts w:ascii="Arial" w:eastAsia="Times New Roman" w:hAnsi="Arial" w:cs="Arial"/>
        </w:rPr>
        <w:t>2</w:t>
      </w:r>
      <w:r w:rsidRPr="006B14C5">
        <w:rPr>
          <w:rFonts w:ascii="Arial" w:eastAsia="Times New Roman" w:hAnsi="Arial" w:cs="Arial"/>
        </w:rPr>
        <w:t>, is presented as follows:</w:t>
      </w:r>
    </w:p>
    <w:bookmarkStart w:id="174" w:name="_MON_1589363525"/>
    <w:bookmarkEnd w:id="174"/>
    <w:p w14:paraId="70593504" w14:textId="65048EB2" w:rsidR="005558B6" w:rsidRPr="006B14C5" w:rsidRDefault="00FE5B29" w:rsidP="00A66832">
      <w:pPr>
        <w:spacing w:after="240" w:line="240" w:lineRule="auto"/>
        <w:ind w:left="360"/>
        <w:jc w:val="both"/>
        <w:rPr>
          <w:rFonts w:ascii="Arial" w:eastAsia="Times New Roman" w:hAnsi="Arial" w:cs="Arial"/>
        </w:rPr>
      </w:pPr>
      <w:r>
        <w:rPr>
          <w:rFonts w:ascii="Arial" w:hAnsi="Arial" w:cs="Arial"/>
          <w:i/>
        </w:rPr>
        <w:object w:dxaOrig="10116" w:dyaOrig="6443" w14:anchorId="1838C1E1">
          <v:shape id="_x0000_i1037" type="#_x0000_t75" style="width:438.75pt;height:309.75pt" o:ole="">
            <v:imagedata r:id="rId38" o:title=""/>
          </v:shape>
          <o:OLEObject Type="Embed" ProgID="Excel.Sheet.12" ShapeID="_x0000_i1037" DrawAspect="Content" ObjectID="_1721553182" r:id="rId39"/>
        </w:object>
      </w:r>
    </w:p>
    <w:p w14:paraId="2953C814" w14:textId="77777777" w:rsidR="005558B6" w:rsidRPr="003B6864" w:rsidRDefault="005558B6" w:rsidP="00A66832">
      <w:pPr>
        <w:spacing w:after="240" w:line="240" w:lineRule="auto"/>
        <w:ind w:left="360"/>
        <w:jc w:val="both"/>
        <w:rPr>
          <w:rFonts w:ascii="Arial" w:eastAsia="Times New Roman" w:hAnsi="Arial" w:cs="Arial"/>
          <w:i/>
        </w:rPr>
      </w:pPr>
      <w:bookmarkStart w:id="175" w:name="_MON_1589363525"/>
      <w:bookmarkStart w:id="176" w:name="_MON_1526387475"/>
      <w:bookmarkEnd w:id="175"/>
      <w:bookmarkEnd w:id="176"/>
      <w:r w:rsidRPr="003B6864">
        <w:rPr>
          <w:rFonts w:ascii="Arial" w:hAnsi="Arial" w:cs="Arial"/>
          <w:b/>
          <w:i/>
          <w:color w:val="0000FF"/>
        </w:rPr>
        <w:t>[Note to Preparer: Based on current legislation and the FY2</w:t>
      </w:r>
      <w:r>
        <w:rPr>
          <w:rFonts w:ascii="Arial" w:hAnsi="Arial" w:cs="Arial"/>
          <w:b/>
          <w:i/>
          <w:color w:val="0000FF"/>
        </w:rPr>
        <w:t>1</w:t>
      </w:r>
      <w:r w:rsidRPr="003B6864">
        <w:rPr>
          <w:rFonts w:ascii="Arial" w:hAnsi="Arial" w:cs="Arial"/>
          <w:b/>
          <w:i/>
          <w:color w:val="0000FF"/>
        </w:rPr>
        <w:t xml:space="preserve"> </w:t>
      </w:r>
      <w:r w:rsidRPr="00EA3FBC">
        <w:rPr>
          <w:rFonts w:ascii="Arial" w:hAnsi="Arial" w:cs="Arial"/>
          <w:b/>
          <w:i/>
          <w:color w:val="0000FF"/>
          <w:highlight w:val="yellow"/>
        </w:rPr>
        <w:t>ACFR</w:t>
      </w:r>
      <w:r w:rsidRPr="003B6864">
        <w:rPr>
          <w:rFonts w:ascii="Arial" w:hAnsi="Arial" w:cs="Arial"/>
          <w:b/>
          <w:i/>
          <w:color w:val="0000FF"/>
        </w:rPr>
        <w:t xml:space="preserve"> there is no amount due within one year for the College’s net pension liability or net OPEB liability during FY2</w:t>
      </w:r>
      <w:r>
        <w:rPr>
          <w:rFonts w:ascii="Arial" w:hAnsi="Arial" w:cs="Arial"/>
          <w:b/>
          <w:i/>
          <w:color w:val="0000FF"/>
        </w:rPr>
        <w:t>2</w:t>
      </w:r>
      <w:r w:rsidRPr="003B6864">
        <w:rPr>
          <w:rFonts w:ascii="Arial" w:hAnsi="Arial" w:cs="Arial"/>
          <w:b/>
          <w:i/>
          <w:color w:val="0000FF"/>
        </w:rPr>
        <w:t>.]</w:t>
      </w:r>
    </w:p>
    <w:p w14:paraId="0E2F67C8" w14:textId="0AB67732" w:rsidR="005558B6" w:rsidRPr="005A31CF" w:rsidRDefault="005558B6" w:rsidP="00A66832">
      <w:pPr>
        <w:spacing w:after="240" w:line="240" w:lineRule="auto"/>
        <w:ind w:left="360" w:hanging="360"/>
        <w:jc w:val="both"/>
        <w:rPr>
          <w:rFonts w:ascii="Arial" w:eastAsia="Times New Roman" w:hAnsi="Arial" w:cs="Arial"/>
        </w:rPr>
      </w:pPr>
      <w:bookmarkStart w:id="177" w:name="_MON_1188274003"/>
      <w:bookmarkStart w:id="178" w:name="_MON_1188285392"/>
      <w:bookmarkStart w:id="179" w:name="_MON_1192364542"/>
      <w:bookmarkStart w:id="180" w:name="_MON_1208244985"/>
      <w:bookmarkStart w:id="181" w:name="_MON_1212828092"/>
      <w:bookmarkStart w:id="182" w:name="_MON_1220861329"/>
      <w:bookmarkStart w:id="183" w:name="_MON_1220942285"/>
      <w:bookmarkStart w:id="184" w:name="_MON_1220942350"/>
      <w:bookmarkStart w:id="185" w:name="_MON_1220942419"/>
      <w:bookmarkStart w:id="186" w:name="_MON_1220942459"/>
      <w:bookmarkStart w:id="187" w:name="_MON_1220942470"/>
      <w:bookmarkStart w:id="188" w:name="_MON_1220942542"/>
      <w:bookmarkStart w:id="189" w:name="_MON_1222083322"/>
      <w:bookmarkStart w:id="190" w:name="_MON_1222083410"/>
      <w:bookmarkStart w:id="191" w:name="_MON_1222083617"/>
      <w:bookmarkStart w:id="192" w:name="_MON_1243143856"/>
      <w:bookmarkStart w:id="193" w:name="_MON_1246780470"/>
      <w:bookmarkStart w:id="194" w:name="_MON_1246862036"/>
      <w:bookmarkStart w:id="195" w:name="_MON_1264248523"/>
      <w:bookmarkStart w:id="196" w:name="_MON_1283839628"/>
      <w:bookmarkStart w:id="197" w:name="_MON_1300515301"/>
      <w:bookmarkStart w:id="198" w:name="_MON_1302418223"/>
      <w:bookmarkStart w:id="199" w:name="_MON_1302418449"/>
      <w:bookmarkStart w:id="200" w:name="_MON_1302418459"/>
      <w:bookmarkStart w:id="201" w:name="_MON_1305023603"/>
      <w:bookmarkStart w:id="202" w:name="_MON_1305632409"/>
      <w:bookmarkStart w:id="203" w:name="_MON_1305632576"/>
      <w:bookmarkStart w:id="204" w:name="_MON_1305632587"/>
      <w:bookmarkStart w:id="205" w:name="_MON_1305632921"/>
      <w:bookmarkStart w:id="206" w:name="_MON_1331964739"/>
      <w:bookmarkStart w:id="207" w:name="_MON_1349264214"/>
      <w:bookmarkStart w:id="208" w:name="_MON_1362380383"/>
      <w:bookmarkStart w:id="209" w:name="_MON_1372676412"/>
      <w:bookmarkStart w:id="210" w:name="_MON_1375524306"/>
      <w:bookmarkStart w:id="211" w:name="_MON_1401869055"/>
      <w:bookmarkStart w:id="212" w:name="_MON_1401871615"/>
      <w:bookmarkStart w:id="213" w:name="_MON_1421219475"/>
      <w:bookmarkStart w:id="214" w:name="_MON_1118934630"/>
      <w:bookmarkStart w:id="215" w:name="_MON_1118934637"/>
      <w:bookmarkStart w:id="216" w:name="_MON_1119000609"/>
      <w:bookmarkStart w:id="217" w:name="_MON_1119000770"/>
      <w:bookmarkStart w:id="218" w:name="_MON_1119089037"/>
      <w:bookmarkStart w:id="219" w:name="_MON_1121238495"/>
      <w:bookmarkStart w:id="220" w:name="_MON_1145687960"/>
      <w:bookmarkStart w:id="221" w:name="_MON_1145688087"/>
      <w:bookmarkStart w:id="222" w:name="_MON_1145688213"/>
      <w:bookmarkStart w:id="223" w:name="_MON_1148645930"/>
      <w:bookmarkStart w:id="224" w:name="_MON_1148646616"/>
      <w:bookmarkStart w:id="225" w:name="_MON_1159610699"/>
      <w:bookmarkStart w:id="226" w:name="_MON_1188220119"/>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762AD2">
        <w:rPr>
          <w:rFonts w:ascii="Arial" w:eastAsia="Times New Roman" w:hAnsi="Arial" w:cs="Arial"/>
          <w:b/>
        </w:rPr>
        <w:t>B.</w:t>
      </w:r>
      <w:r w:rsidRPr="00762AD2">
        <w:rPr>
          <w:rFonts w:ascii="Arial" w:eastAsia="Times New Roman" w:hAnsi="Arial" w:cs="Arial"/>
          <w:b/>
        </w:rPr>
        <w:tab/>
        <w:t xml:space="preserve">Notes </w:t>
      </w:r>
      <w:r w:rsidRPr="00F34E2E">
        <w:rPr>
          <w:rFonts w:ascii="Arial" w:eastAsia="Times New Roman" w:hAnsi="Arial" w:cs="Arial"/>
          <w:b/>
        </w:rPr>
        <w:t>from Direct Borrowings</w:t>
      </w:r>
      <w:r w:rsidRPr="00762AD2">
        <w:rPr>
          <w:rFonts w:ascii="Arial" w:eastAsia="Times New Roman" w:hAnsi="Arial" w:cs="Arial"/>
          <w:b/>
        </w:rPr>
        <w:t xml:space="preserve"> </w:t>
      </w:r>
      <w:r w:rsidRPr="00762AD2">
        <w:rPr>
          <w:rFonts w:ascii="Arial" w:eastAsia="Times New Roman" w:hAnsi="Arial" w:cs="Arial"/>
        </w:rPr>
        <w:t>-</w:t>
      </w:r>
      <w:r w:rsidRPr="00762AD2">
        <w:rPr>
          <w:rFonts w:ascii="Arial" w:eastAsia="Times New Roman" w:hAnsi="Arial" w:cs="Arial"/>
          <w:b/>
        </w:rPr>
        <w:t xml:space="preserve"> </w:t>
      </w:r>
      <w:r w:rsidRPr="00762AD2">
        <w:rPr>
          <w:rFonts w:ascii="Arial" w:eastAsia="Times New Roman" w:hAnsi="Arial" w:cs="Arial"/>
        </w:rPr>
        <w:t xml:space="preserve">The College was indebted for notes </w:t>
      </w:r>
      <w:r w:rsidRPr="00F34E2E">
        <w:rPr>
          <w:rFonts w:ascii="Arial" w:eastAsia="Times New Roman" w:hAnsi="Arial" w:cs="Arial"/>
        </w:rPr>
        <w:t>from direct borrowings</w:t>
      </w:r>
      <w:r w:rsidRPr="00762AD2">
        <w:rPr>
          <w:rFonts w:ascii="Arial" w:eastAsia="Times New Roman" w:hAnsi="Arial" w:cs="Arial"/>
        </w:rPr>
        <w:t xml:space="preserve"> for the purpose</w:t>
      </w:r>
      <w:r w:rsidR="008E7CFB" w:rsidRPr="007177A7">
        <w:rPr>
          <w:rFonts w:ascii="Arial" w:eastAsia="Times New Roman" w:hAnsi="Arial" w:cs="Arial"/>
          <w:b/>
          <w:color w:val="0000FF"/>
          <w:highlight w:val="yellow"/>
        </w:rPr>
        <w:t>(</w:t>
      </w:r>
      <w:r w:rsidRPr="007177A7">
        <w:rPr>
          <w:rFonts w:ascii="Arial" w:eastAsia="Times New Roman" w:hAnsi="Arial" w:cs="Arial"/>
          <w:b/>
          <w:color w:val="0000FF"/>
          <w:highlight w:val="yellow"/>
        </w:rPr>
        <w:t>s</w:t>
      </w:r>
      <w:r w:rsidR="008E7CFB" w:rsidRPr="007177A7">
        <w:rPr>
          <w:rFonts w:ascii="Arial" w:eastAsia="Times New Roman" w:hAnsi="Arial" w:cs="Arial"/>
          <w:b/>
          <w:color w:val="0000FF"/>
          <w:highlight w:val="yellow"/>
        </w:rPr>
        <w:t>)</w:t>
      </w:r>
      <w:r w:rsidRPr="008E7CFB">
        <w:rPr>
          <w:rFonts w:ascii="Arial" w:eastAsia="Times New Roman" w:hAnsi="Arial" w:cs="Arial"/>
          <w:color w:val="0000FF"/>
        </w:rPr>
        <w:t xml:space="preserve"> </w:t>
      </w:r>
      <w:r w:rsidRPr="00762AD2">
        <w:rPr>
          <w:rFonts w:ascii="Arial" w:eastAsia="Times New Roman" w:hAnsi="Arial" w:cs="Arial"/>
        </w:rPr>
        <w:t>shown in the following table:</w:t>
      </w:r>
    </w:p>
    <w:bookmarkStart w:id="227" w:name="_MON_1119000956"/>
    <w:bookmarkStart w:id="228" w:name="_MON_1119080190"/>
    <w:bookmarkStart w:id="229" w:name="_MON_1148646917"/>
    <w:bookmarkStart w:id="230" w:name="_MON_1188275078"/>
    <w:bookmarkStart w:id="231" w:name="_MON_1188275127"/>
    <w:bookmarkStart w:id="232" w:name="_MON_1188287476"/>
    <w:bookmarkStart w:id="233" w:name="_MON_1192432781"/>
    <w:bookmarkStart w:id="234" w:name="_MON_1220944683"/>
    <w:bookmarkStart w:id="235" w:name="_MON_1220944825"/>
    <w:bookmarkStart w:id="236" w:name="_MON_1243144100"/>
    <w:bookmarkStart w:id="237" w:name="_MON_1264249274"/>
    <w:bookmarkStart w:id="238" w:name="_MON_1300515770"/>
    <w:bookmarkStart w:id="239" w:name="_MON_1331964758"/>
    <w:bookmarkStart w:id="240" w:name="_MON_1362380408"/>
    <w:bookmarkStart w:id="241" w:name="_MON_1401869070"/>
    <w:bookmarkStart w:id="242" w:name="_MON_1402726465"/>
    <w:bookmarkStart w:id="243" w:name="_MON_1421219498"/>
    <w:bookmarkStart w:id="244" w:name="_MON_1118936026"/>
    <w:bookmarkStart w:id="245" w:name="_MON_1118937547"/>
    <w:bookmarkStart w:id="246" w:name="_MON_1118938214"/>
    <w:bookmarkStart w:id="247" w:name="_MON_1118938302"/>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Start w:id="248" w:name="_MON_1118938429"/>
    <w:bookmarkEnd w:id="248"/>
    <w:p w14:paraId="4BAD2631" w14:textId="17E3813E" w:rsidR="005558B6" w:rsidRPr="005A31CF" w:rsidRDefault="00DC73A5" w:rsidP="00A66832">
      <w:pPr>
        <w:spacing w:after="240" w:line="240" w:lineRule="auto"/>
        <w:ind w:left="360"/>
        <w:jc w:val="center"/>
        <w:rPr>
          <w:rFonts w:ascii="Arial" w:eastAsia="Times New Roman" w:hAnsi="Arial" w:cs="Arial"/>
        </w:rPr>
      </w:pPr>
      <w:r w:rsidRPr="005A31CF">
        <w:rPr>
          <w:rFonts w:ascii="Arial" w:eastAsia="Times New Roman" w:hAnsi="Arial" w:cs="Arial"/>
        </w:rPr>
        <w:object w:dxaOrig="9105" w:dyaOrig="2610" w14:anchorId="54728BCF">
          <v:shape id="_x0000_i1038" type="#_x0000_t75" style="width:396pt;height:115.5pt;mso-position-vertical:absolute" o:ole="">
            <v:imagedata r:id="rId40" o:title=""/>
          </v:shape>
          <o:OLEObject Type="Embed" ProgID="Excel.Sheet.12" ShapeID="_x0000_i1038" DrawAspect="Content" ObjectID="_1721553183" r:id="rId41"/>
        </w:object>
      </w:r>
    </w:p>
    <w:p w14:paraId="4C9F0B07" w14:textId="77777777" w:rsidR="005558B6" w:rsidRPr="005A31CF" w:rsidRDefault="005558B6" w:rsidP="00A66832">
      <w:pPr>
        <w:spacing w:after="240" w:line="240" w:lineRule="auto"/>
        <w:ind w:left="360"/>
        <w:jc w:val="both"/>
        <w:rPr>
          <w:rFonts w:ascii="Arial" w:eastAsia="Times New Roman" w:hAnsi="Arial" w:cs="Arial"/>
          <w:color w:val="0000FF"/>
        </w:rPr>
      </w:pPr>
      <w:r w:rsidRPr="005A31CF">
        <w:rPr>
          <w:rFonts w:ascii="Arial" w:eastAsia="Times New Roman" w:hAnsi="Arial" w:cs="Arial"/>
          <w:b/>
          <w:i/>
          <w:color w:val="0000FF"/>
        </w:rPr>
        <w:t xml:space="preserve">[Note to preparer: If any notes are secured by pledged revenues, see </w:t>
      </w:r>
      <w:bookmarkStart w:id="249" w:name="OLE_LINK16"/>
      <w:r w:rsidRPr="005A31CF">
        <w:rPr>
          <w:rFonts w:ascii="Arial" w:eastAsia="Times New Roman" w:hAnsi="Arial" w:cs="Arial"/>
          <w:b/>
          <w:i/>
          <w:color w:val="0000FF"/>
        </w:rPr>
        <w:t>GASB 48 for disclosure requirements</w:t>
      </w:r>
      <w:bookmarkEnd w:id="249"/>
      <w:r w:rsidRPr="005A31CF">
        <w:rPr>
          <w:rFonts w:ascii="Arial" w:eastAsia="Times New Roman" w:hAnsi="Arial" w:cs="Arial"/>
          <w:b/>
          <w:i/>
          <w:color w:val="0000FF"/>
        </w:rPr>
        <w:t>. The pledged revenue disclosure does not apply to the energy savings contracts.]</w:t>
      </w:r>
    </w:p>
    <w:p w14:paraId="0C76F499" w14:textId="77777777" w:rsidR="005558B6" w:rsidRPr="005A31CF" w:rsidRDefault="005558B6" w:rsidP="00A66832">
      <w:pPr>
        <w:spacing w:after="240" w:line="240" w:lineRule="auto"/>
        <w:ind w:left="360"/>
        <w:jc w:val="both"/>
        <w:rPr>
          <w:rFonts w:ascii="Arial" w:eastAsia="Times New Roman" w:hAnsi="Arial" w:cs="Arial"/>
          <w:color w:val="000000"/>
        </w:rPr>
      </w:pPr>
      <w:r w:rsidRPr="00762AD2">
        <w:rPr>
          <w:rFonts w:ascii="Arial" w:eastAsia="Times New Roman" w:hAnsi="Arial" w:cs="Arial"/>
        </w:rPr>
        <w:t xml:space="preserve">The annual requirements to pay principal and interest on notes </w:t>
      </w:r>
      <w:r w:rsidRPr="00F34E2E">
        <w:rPr>
          <w:rFonts w:ascii="Arial" w:eastAsia="Times New Roman" w:hAnsi="Arial" w:cs="Arial"/>
        </w:rPr>
        <w:t>from direct borrowings</w:t>
      </w:r>
      <w:r w:rsidRPr="00762AD2">
        <w:rPr>
          <w:rFonts w:ascii="Arial" w:eastAsia="Times New Roman" w:hAnsi="Arial" w:cs="Arial"/>
        </w:rPr>
        <w:t xml:space="preserve"> at June 30, </w:t>
      </w:r>
      <w:r>
        <w:rPr>
          <w:rFonts w:ascii="Arial" w:eastAsia="Times New Roman" w:hAnsi="Arial" w:cs="Arial"/>
        </w:rPr>
        <w:t>2022</w:t>
      </w:r>
      <w:r w:rsidRPr="00762AD2">
        <w:rPr>
          <w:rFonts w:ascii="Arial" w:eastAsia="Times New Roman" w:hAnsi="Arial" w:cs="Arial"/>
        </w:rPr>
        <w:t>, are as follows:</w:t>
      </w:r>
    </w:p>
    <w:bookmarkStart w:id="250" w:name="_MON_1305632693"/>
    <w:bookmarkStart w:id="251" w:name="_MON_1331964780"/>
    <w:bookmarkStart w:id="252" w:name="_MON_1362380428"/>
    <w:bookmarkStart w:id="253" w:name="_MON_1362380442"/>
    <w:bookmarkStart w:id="254" w:name="_MON_1362380448"/>
    <w:bookmarkStart w:id="255" w:name="_MON_1401869090"/>
    <w:bookmarkStart w:id="256" w:name="_MON_1402726524"/>
    <w:bookmarkStart w:id="257" w:name="_MON_1116936435"/>
    <w:bookmarkStart w:id="258" w:name="_MON_1116936586"/>
    <w:bookmarkStart w:id="259" w:name="_MON_1119356557"/>
    <w:bookmarkStart w:id="260" w:name="_MON_1119356794"/>
    <w:bookmarkStart w:id="261" w:name="_MON_1119358544"/>
    <w:bookmarkStart w:id="262" w:name="_MON_1122724808"/>
    <w:bookmarkStart w:id="263" w:name="_MON_1148111691"/>
    <w:bookmarkStart w:id="264" w:name="_MON_1148111797"/>
    <w:bookmarkStart w:id="265" w:name="_MON_1149320568"/>
    <w:bookmarkStart w:id="266" w:name="_MON_1188192595"/>
    <w:bookmarkStart w:id="267" w:name="_MON_1188194947"/>
    <w:bookmarkStart w:id="268" w:name="_MON_1213767893"/>
    <w:bookmarkStart w:id="269" w:name="_MON_1213768005"/>
    <w:bookmarkStart w:id="270" w:name="_MON_1244620972"/>
    <w:bookmarkStart w:id="271" w:name="_MON_1244621047"/>
    <w:bookmarkStart w:id="272" w:name="_MON_1277202836"/>
    <w:bookmarkStart w:id="273" w:name="_MON_1277202913"/>
    <w:bookmarkStart w:id="274" w:name="_MON_128677336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Start w:id="275" w:name="_MON_1286773679"/>
    <w:bookmarkEnd w:id="275"/>
    <w:p w14:paraId="4A923805" w14:textId="77777777" w:rsidR="005558B6" w:rsidRPr="005A31CF" w:rsidRDefault="005558B6" w:rsidP="00A66832">
      <w:pPr>
        <w:spacing w:after="240" w:line="240" w:lineRule="auto"/>
        <w:ind w:left="360"/>
        <w:jc w:val="center"/>
        <w:rPr>
          <w:rFonts w:ascii="Arial" w:eastAsia="Times New Roman" w:hAnsi="Arial" w:cs="Arial"/>
        </w:rPr>
      </w:pPr>
      <w:r w:rsidRPr="005A31CF">
        <w:rPr>
          <w:rFonts w:ascii="Arial" w:eastAsia="Times New Roman" w:hAnsi="Arial" w:cs="Arial"/>
        </w:rPr>
        <w:object w:dxaOrig="4725" w:dyaOrig="3075" w14:anchorId="496A7172">
          <v:shape id="_x0000_i1039" type="#_x0000_t75" style="width:201.75pt;height:2in" o:ole="">
            <v:imagedata r:id="rId42" o:title=""/>
          </v:shape>
          <o:OLEObject Type="Embed" ProgID="Excel.Sheet.12" ShapeID="_x0000_i1039" DrawAspect="Content" ObjectID="_1721553184" r:id="rId43"/>
        </w:object>
      </w:r>
    </w:p>
    <w:p w14:paraId="667BF89F" w14:textId="77777777" w:rsidR="005558B6" w:rsidRPr="005A31CF" w:rsidRDefault="005558B6" w:rsidP="00A66832">
      <w:pPr>
        <w:spacing w:after="240" w:line="240" w:lineRule="auto"/>
        <w:ind w:left="360"/>
        <w:jc w:val="both"/>
        <w:rPr>
          <w:rFonts w:ascii="Arial" w:eastAsia="Times New Roman" w:hAnsi="Arial" w:cs="Arial"/>
          <w:b/>
          <w:i/>
          <w:color w:val="0000FF"/>
        </w:rPr>
      </w:pPr>
      <w:r w:rsidRPr="005A31CF">
        <w:rPr>
          <w:rFonts w:ascii="Arial" w:eastAsia="Times New Roman" w:hAnsi="Arial" w:cs="Arial"/>
          <w:b/>
          <w:i/>
          <w:color w:val="0000FF"/>
        </w:rPr>
        <w:t>[Report any long-term liabilities representing the College’s obligation to make payments under a Licensing Agreement (for commercially available software acquired through a licensing agreement requiring multi-year payments) in the above Notes Payable table.]</w:t>
      </w:r>
    </w:p>
    <w:p w14:paraId="3CFDDFAD" w14:textId="77777777" w:rsidR="005558B6" w:rsidRPr="00507A59" w:rsidRDefault="005558B6" w:rsidP="00A66832">
      <w:pPr>
        <w:spacing w:after="240" w:line="240" w:lineRule="auto"/>
        <w:ind w:left="360" w:hanging="360"/>
        <w:jc w:val="both"/>
        <w:rPr>
          <w:rFonts w:ascii="Arial" w:eastAsia="Times New Roman" w:hAnsi="Arial" w:cs="Arial"/>
          <w:b/>
          <w:i/>
          <w:color w:val="0000FF"/>
        </w:rPr>
      </w:pPr>
      <w:r w:rsidRPr="00507A59">
        <w:rPr>
          <w:rFonts w:ascii="Arial" w:eastAsia="Times New Roman" w:hAnsi="Arial" w:cs="Arial"/>
          <w:b/>
        </w:rPr>
        <w:t>C.</w:t>
      </w:r>
      <w:r w:rsidRPr="00507A59">
        <w:rPr>
          <w:rFonts w:ascii="Arial" w:eastAsia="Times New Roman" w:hAnsi="Arial" w:cs="Arial"/>
          <w:b/>
        </w:rPr>
        <w:tab/>
      </w:r>
      <w:r w:rsidRPr="00F34E2E">
        <w:rPr>
          <w:rFonts w:ascii="Arial" w:eastAsia="Times New Roman" w:hAnsi="Arial" w:cs="Arial"/>
          <w:b/>
          <w:color w:val="000000"/>
        </w:rPr>
        <w:t xml:space="preserve">Terms of Debt Agreements </w:t>
      </w:r>
      <w:r w:rsidRPr="00F34E2E">
        <w:rPr>
          <w:rFonts w:ascii="Arial" w:eastAsia="Times New Roman" w:hAnsi="Arial" w:cs="Arial"/>
          <w:color w:val="000000"/>
        </w:rPr>
        <w:t xml:space="preserve">- </w:t>
      </w:r>
      <w:r w:rsidRPr="00F34E2E">
        <w:rPr>
          <w:rFonts w:ascii="Arial" w:eastAsia="Times New Roman" w:hAnsi="Arial" w:cs="Arial"/>
          <w:b/>
          <w:i/>
          <w:color w:val="0000FF"/>
        </w:rPr>
        <w:t>[Per GASB 88 paragraph 5(b)-(c), disclosure should include assets pledged as collateral for debt as well as terms specified in debt agreements related to significant (1) events of default with finance-related consequences, (2) termination events with finance-related consequences, and (3) subjective acceleration clauses.]</w:t>
      </w:r>
      <w:r w:rsidRPr="00F34E2E">
        <w:rPr>
          <w:rFonts w:ascii="Arial" w:eastAsia="Times New Roman" w:hAnsi="Arial" w:cs="Arial"/>
          <w:b/>
          <w:color w:val="0000FF"/>
        </w:rPr>
        <w:t xml:space="preserve"> </w:t>
      </w:r>
      <w:r w:rsidRPr="00F34E2E">
        <w:rPr>
          <w:rFonts w:ascii="Arial" w:eastAsia="Times New Roman" w:hAnsi="Arial" w:cs="Arial"/>
        </w:rPr>
        <w:t>The Colleges’ debt agreements are subject to the following collateral requirements and terms with finance-related consequences:</w:t>
      </w:r>
      <w:r w:rsidRPr="00F34E2E">
        <w:rPr>
          <w:rFonts w:ascii="Arial" w:eastAsia="Times New Roman" w:hAnsi="Arial" w:cs="Arial"/>
          <w:b/>
          <w:i/>
          <w:color w:val="0000FF"/>
        </w:rPr>
        <w:t xml:space="preserve"> [Modify as necessary.]</w:t>
      </w:r>
    </w:p>
    <w:p w14:paraId="727AC99C" w14:textId="77777777" w:rsidR="005558B6" w:rsidRPr="00507A59" w:rsidRDefault="005558B6" w:rsidP="00A66832">
      <w:pPr>
        <w:spacing w:after="240" w:line="240" w:lineRule="auto"/>
        <w:ind w:left="360"/>
        <w:jc w:val="both"/>
        <w:rPr>
          <w:rFonts w:ascii="Arial" w:eastAsia="Times New Roman" w:hAnsi="Arial" w:cs="Arial"/>
          <w:b/>
          <w:i/>
          <w:color w:val="0000FF"/>
        </w:rPr>
      </w:pPr>
      <w:r w:rsidRPr="00F34E2E">
        <w:rPr>
          <w:rFonts w:ascii="Arial" w:eastAsia="Times New Roman" w:hAnsi="Arial" w:cs="Arial"/>
          <w:b/>
        </w:rPr>
        <w:t xml:space="preserve">Notes from Direct Borrowings </w:t>
      </w:r>
      <w:r w:rsidRPr="00F34E2E">
        <w:rPr>
          <w:rFonts w:ascii="Arial" w:eastAsia="Times New Roman" w:hAnsi="Arial" w:cs="Arial"/>
        </w:rPr>
        <w:t xml:space="preserve">- </w:t>
      </w:r>
      <w:r w:rsidRPr="00F34E2E">
        <w:rPr>
          <w:rFonts w:ascii="Arial" w:eastAsia="Times New Roman" w:hAnsi="Arial" w:cs="Arial"/>
          <w:b/>
          <w:i/>
          <w:color w:val="0000FF"/>
        </w:rPr>
        <w:t>[Describe assets pledged as collateral and significant terms. Similar terms can be referenced for multiple notes, as applicable. Omit if not applicable.</w:t>
      </w:r>
      <w:r w:rsidRPr="00507A59">
        <w:rPr>
          <w:rFonts w:ascii="Arial" w:eastAsia="Times New Roman" w:hAnsi="Arial" w:cs="Arial"/>
          <w:b/>
          <w:i/>
          <w:color w:val="0000FF"/>
        </w:rPr>
        <w:t>]</w:t>
      </w:r>
    </w:p>
    <w:p w14:paraId="6B9556BD" w14:textId="77777777" w:rsidR="005558B6" w:rsidRDefault="005558B6" w:rsidP="00A66832">
      <w:pPr>
        <w:spacing w:after="240" w:line="240" w:lineRule="auto"/>
        <w:ind w:left="360"/>
        <w:jc w:val="both"/>
        <w:rPr>
          <w:rFonts w:ascii="Arial" w:eastAsia="Times New Roman" w:hAnsi="Arial" w:cs="Arial"/>
          <w:b/>
        </w:rPr>
      </w:pPr>
      <w:r w:rsidRPr="00F34E2E">
        <w:rPr>
          <w:rFonts w:ascii="Arial" w:eastAsia="Times New Roman" w:hAnsi="Arial" w:cs="Arial"/>
          <w:b/>
        </w:rPr>
        <w:t xml:space="preserve">Anticipation Notes </w:t>
      </w:r>
      <w:r w:rsidRPr="00F34E2E">
        <w:rPr>
          <w:rFonts w:ascii="Arial" w:eastAsia="Times New Roman" w:hAnsi="Arial" w:cs="Arial"/>
        </w:rPr>
        <w:t xml:space="preserve">- </w:t>
      </w:r>
      <w:r w:rsidRPr="00F34E2E">
        <w:rPr>
          <w:rFonts w:ascii="Arial" w:eastAsia="Times New Roman" w:hAnsi="Arial" w:cs="Arial"/>
          <w:b/>
          <w:i/>
          <w:color w:val="0000FF"/>
        </w:rPr>
        <w:t>[Describe assets pledged as collateral and significant terms. Similar terms can be referenced for multiple notes, as applicable. Omit if not applicable.]</w:t>
      </w:r>
    </w:p>
    <w:p w14:paraId="5B2D6E3F" w14:textId="77777777" w:rsidR="005558B6" w:rsidRPr="005A31CF" w:rsidRDefault="005558B6" w:rsidP="00A66832">
      <w:pPr>
        <w:spacing w:after="240" w:line="240" w:lineRule="auto"/>
        <w:ind w:left="360" w:hanging="360"/>
        <w:jc w:val="both"/>
        <w:rPr>
          <w:rFonts w:ascii="Arial" w:eastAsia="Times New Roman" w:hAnsi="Arial" w:cs="Arial"/>
          <w:color w:val="000000"/>
        </w:rPr>
      </w:pPr>
      <w:r>
        <w:rPr>
          <w:rFonts w:ascii="Arial" w:eastAsia="Times New Roman" w:hAnsi="Arial" w:cs="Arial"/>
          <w:b/>
        </w:rPr>
        <w:t xml:space="preserve">D. </w:t>
      </w:r>
      <w:r>
        <w:rPr>
          <w:rFonts w:ascii="Arial" w:eastAsia="Times New Roman" w:hAnsi="Arial" w:cs="Arial"/>
          <w:b/>
        </w:rPr>
        <w:tab/>
      </w:r>
      <w:r w:rsidRPr="005A31CF">
        <w:rPr>
          <w:rFonts w:ascii="Arial" w:eastAsia="Times New Roman" w:hAnsi="Arial" w:cs="Arial"/>
          <w:b/>
        </w:rPr>
        <w:t xml:space="preserve">Annuities Payable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b/>
          <w:i/>
          <w:color w:val="0000FF"/>
        </w:rPr>
        <w:t>[Provide description of annuities payable, if applicable.]</w:t>
      </w:r>
    </w:p>
    <w:p w14:paraId="78EB3BC7" w14:textId="2F2C430F" w:rsidR="005558B6" w:rsidRPr="005A31CF" w:rsidRDefault="005558B6" w:rsidP="00A66832">
      <w:pPr>
        <w:spacing w:after="240" w:line="240" w:lineRule="auto"/>
        <w:ind w:left="360" w:hanging="360"/>
        <w:jc w:val="both"/>
        <w:rPr>
          <w:rFonts w:ascii="Arial" w:eastAsia="Times New Roman" w:hAnsi="Arial" w:cs="Arial"/>
          <w:color w:val="000000"/>
        </w:rPr>
      </w:pPr>
      <w:r>
        <w:rPr>
          <w:rFonts w:ascii="Arial" w:eastAsia="Times New Roman" w:hAnsi="Arial" w:cs="Arial"/>
          <w:b/>
        </w:rPr>
        <w:t>E</w:t>
      </w:r>
      <w:r w:rsidRPr="005A31CF">
        <w:rPr>
          <w:rFonts w:ascii="Arial" w:eastAsia="Times New Roman" w:hAnsi="Arial" w:cs="Arial"/>
          <w:b/>
        </w:rPr>
        <w:t>.</w:t>
      </w:r>
      <w:r w:rsidRPr="005A31CF">
        <w:rPr>
          <w:rFonts w:ascii="Arial" w:eastAsia="Times New Roman" w:hAnsi="Arial" w:cs="Arial"/>
          <w:b/>
        </w:rPr>
        <w:tab/>
        <w:t>Pollution Remediation Payable</w:t>
      </w:r>
      <w:r w:rsidRPr="005A31CF">
        <w:rPr>
          <w:rFonts w:ascii="Arial" w:eastAsia="Times New Roman" w:hAnsi="Arial" w:cs="Arial"/>
        </w:rPr>
        <w:t xml:space="preserve"> - </w:t>
      </w:r>
      <w:r w:rsidRPr="005A31CF">
        <w:rPr>
          <w:rFonts w:ascii="Arial" w:eastAsia="Times New Roman" w:hAnsi="Arial" w:cs="Arial"/>
          <w:b/>
          <w:i/>
          <w:color w:val="0000FF"/>
        </w:rPr>
        <w:t>[See GASB 49, Accounting and Financial Reporting for Pollution Remediation Obligations. An example is provided as follows.]</w:t>
      </w:r>
      <w:r w:rsidRPr="005A31CF">
        <w:rPr>
          <w:rFonts w:ascii="Arial" w:eastAsia="Times New Roman" w:hAnsi="Arial" w:cs="Arial"/>
          <w:color w:val="000000"/>
        </w:rPr>
        <w:t xml:space="preserve"> </w:t>
      </w:r>
      <w:r w:rsidRPr="005A31CF">
        <w:rPr>
          <w:rFonts w:ascii="Arial" w:eastAsia="Times New Roman" w:hAnsi="Arial" w:cs="Arial"/>
        </w:rPr>
        <w:t xml:space="preserve">The College has recognized a pollution remediation liability for </w:t>
      </w:r>
      <w:r w:rsidRPr="005A31CF">
        <w:rPr>
          <w:rFonts w:ascii="Arial" w:eastAsia="Times New Roman" w:hAnsi="Arial" w:cs="Arial"/>
          <w:b/>
          <w:color w:val="0000FF"/>
        </w:rPr>
        <w:t>[describe the nature and source of liability]</w:t>
      </w:r>
      <w:r w:rsidRPr="005A31CF">
        <w:rPr>
          <w:rFonts w:ascii="Arial" w:eastAsia="Times New Roman" w:hAnsi="Arial" w:cs="Arial"/>
          <w:color w:val="000000"/>
        </w:rPr>
        <w:t xml:space="preserve">. </w:t>
      </w:r>
      <w:r w:rsidRPr="005A31CF">
        <w:rPr>
          <w:rFonts w:ascii="Arial" w:eastAsia="Times New Roman" w:hAnsi="Arial" w:cs="Arial"/>
        </w:rPr>
        <w:t xml:space="preserve">The amount of the estimated liability is $__________. This estimate was calculated </w:t>
      </w:r>
      <w:r w:rsidRPr="005A31CF">
        <w:rPr>
          <w:rFonts w:ascii="Arial" w:eastAsia="Times New Roman" w:hAnsi="Arial" w:cs="Arial"/>
          <w:b/>
          <w:color w:val="0000FF"/>
        </w:rPr>
        <w:t>[describe the methods and assumptions used when calculating the estimated liability]</w:t>
      </w:r>
      <w:r w:rsidRPr="005A31CF">
        <w:rPr>
          <w:rFonts w:ascii="Arial" w:eastAsia="Times New Roman" w:hAnsi="Arial" w:cs="Arial"/>
        </w:rPr>
        <w:t xml:space="preserve">. This liability is subject to potential changes due to </w:t>
      </w:r>
      <w:r w:rsidRPr="005A31CF">
        <w:rPr>
          <w:rFonts w:ascii="Arial" w:eastAsia="Times New Roman" w:hAnsi="Arial" w:cs="Arial"/>
          <w:b/>
          <w:color w:val="0000FF"/>
        </w:rPr>
        <w:t>[describe potential changes; for example</w:t>
      </w:r>
      <w:r w:rsidR="007D465A">
        <w:rPr>
          <w:rFonts w:ascii="Arial" w:eastAsia="Times New Roman" w:hAnsi="Arial" w:cs="Arial"/>
          <w:b/>
          <w:color w:val="0000FF"/>
        </w:rPr>
        <w:t>,</w:t>
      </w:r>
      <w:r w:rsidRPr="005A31CF">
        <w:rPr>
          <w:rFonts w:ascii="Arial" w:eastAsia="Times New Roman" w:hAnsi="Arial" w:cs="Arial"/>
          <w:b/>
          <w:color w:val="0000FF"/>
        </w:rPr>
        <w:t xml:space="preserve"> price increases or reductions, technology, or applicable laws or regulations]</w:t>
      </w:r>
      <w:r w:rsidRPr="005A31CF">
        <w:rPr>
          <w:rFonts w:ascii="Arial" w:eastAsia="Times New Roman" w:hAnsi="Arial" w:cs="Arial"/>
          <w:color w:val="000000"/>
        </w:rPr>
        <w:t xml:space="preserve">. </w:t>
      </w:r>
      <w:r w:rsidRPr="005A31CF">
        <w:rPr>
          <w:rFonts w:ascii="Arial" w:eastAsia="Times New Roman" w:hAnsi="Arial" w:cs="Arial"/>
        </w:rPr>
        <w:t xml:space="preserve">The amount of the estimated recoveries for this estimated liability is $___________. </w:t>
      </w:r>
      <w:r w:rsidRPr="005A31CF">
        <w:rPr>
          <w:rFonts w:ascii="Arial" w:eastAsia="Times New Roman" w:hAnsi="Arial" w:cs="Arial"/>
          <w:b/>
          <w:i/>
          <w:color w:val="0000FF"/>
        </w:rPr>
        <w:t>[Omit if not applicable. Modify as necessary.]</w:t>
      </w:r>
    </w:p>
    <w:p w14:paraId="736139C6" w14:textId="77777777" w:rsidR="005558B6" w:rsidRPr="005A31CF" w:rsidRDefault="005558B6" w:rsidP="00A66832">
      <w:pPr>
        <w:spacing w:after="240" w:line="240" w:lineRule="auto"/>
        <w:ind w:left="360"/>
        <w:jc w:val="both"/>
        <w:rPr>
          <w:rFonts w:ascii="Arial" w:eastAsia="Times New Roman" w:hAnsi="Arial" w:cs="Arial"/>
          <w:b/>
          <w:i/>
          <w:color w:val="0000FF"/>
        </w:rPr>
      </w:pPr>
      <w:r w:rsidRPr="005A31CF">
        <w:rPr>
          <w:rFonts w:ascii="Arial" w:eastAsia="Times New Roman" w:hAnsi="Arial" w:cs="Arial"/>
        </w:rPr>
        <w:t xml:space="preserve">The College has a pollution remediation liability that could not yet be recognized because it is not reasonably estimable. This liability is </w:t>
      </w:r>
      <w:r w:rsidRPr="005A31CF">
        <w:rPr>
          <w:rFonts w:ascii="Arial" w:eastAsia="Times New Roman" w:hAnsi="Arial" w:cs="Arial"/>
          <w:b/>
          <w:color w:val="0000FF"/>
        </w:rPr>
        <w:t>[provide a general description of the nature of the pollution remediation activities]</w:t>
      </w:r>
      <w:r w:rsidRPr="005A31CF">
        <w:rPr>
          <w:rFonts w:ascii="Arial" w:eastAsia="Times New Roman" w:hAnsi="Arial" w:cs="Arial"/>
          <w:color w:val="000000"/>
        </w:rPr>
        <w:t xml:space="preserve">. </w:t>
      </w:r>
      <w:r w:rsidRPr="005A31CF">
        <w:rPr>
          <w:rFonts w:ascii="Arial" w:eastAsia="Times New Roman" w:hAnsi="Arial" w:cs="Arial"/>
          <w:b/>
          <w:i/>
          <w:color w:val="0000FF"/>
        </w:rPr>
        <w:t>[Omit if not applicable. Modify as necessary.]</w:t>
      </w:r>
    </w:p>
    <w:p w14:paraId="73F26420" w14:textId="77777777" w:rsidR="005558B6" w:rsidRPr="00466BDE" w:rsidRDefault="005558B6" w:rsidP="00A66832">
      <w:pPr>
        <w:spacing w:after="240" w:line="240" w:lineRule="auto"/>
        <w:ind w:left="360" w:hanging="360"/>
        <w:jc w:val="both"/>
        <w:rPr>
          <w:rFonts w:ascii="Arial" w:eastAsia="Times New Roman" w:hAnsi="Arial" w:cs="Arial"/>
          <w:b/>
        </w:rPr>
      </w:pPr>
      <w:r>
        <w:rPr>
          <w:rFonts w:ascii="Arial" w:eastAsia="Times New Roman" w:hAnsi="Arial" w:cs="Arial"/>
          <w:b/>
        </w:rPr>
        <w:t xml:space="preserve">F. </w:t>
      </w:r>
      <w:r>
        <w:rPr>
          <w:rFonts w:ascii="Arial" w:eastAsia="Times New Roman" w:hAnsi="Arial" w:cs="Arial"/>
          <w:b/>
        </w:rPr>
        <w:tab/>
        <w:t xml:space="preserve">Anticipation Notes </w:t>
      </w:r>
      <w:r w:rsidRPr="00466BDE">
        <w:rPr>
          <w:rFonts w:ascii="Arial" w:eastAsia="Times New Roman" w:hAnsi="Arial" w:cs="Arial"/>
        </w:rPr>
        <w:t>-</w:t>
      </w:r>
      <w:r>
        <w:rPr>
          <w:rFonts w:ascii="Arial" w:eastAsia="Times New Roman" w:hAnsi="Arial" w:cs="Arial"/>
          <w:b/>
        </w:rPr>
        <w:t xml:space="preserve"> </w:t>
      </w:r>
      <w:r w:rsidRPr="00EE59A7">
        <w:rPr>
          <w:rFonts w:ascii="Arial" w:eastAsia="Times New Roman" w:hAnsi="Arial" w:cs="Arial"/>
        </w:rPr>
        <w:t xml:space="preserve">On </w:t>
      </w:r>
      <w:r w:rsidRPr="00F34E2E">
        <w:rPr>
          <w:rFonts w:ascii="Arial" w:eastAsia="Times New Roman" w:hAnsi="Arial" w:cs="Arial"/>
          <w:color w:val="0000FF"/>
        </w:rPr>
        <w:t>[Date]</w:t>
      </w:r>
      <w:r w:rsidRPr="00EE59A7">
        <w:rPr>
          <w:rFonts w:ascii="Arial" w:eastAsia="Times New Roman" w:hAnsi="Arial" w:cs="Arial"/>
        </w:rPr>
        <w:t xml:space="preserve">, the College entered into a loan agreement with </w:t>
      </w:r>
      <w:r w:rsidRPr="00F34E2E">
        <w:rPr>
          <w:rFonts w:ascii="Arial" w:eastAsia="Times New Roman" w:hAnsi="Arial" w:cs="Arial"/>
          <w:color w:val="0000FF"/>
        </w:rPr>
        <w:t>[Lending Institution]</w:t>
      </w:r>
      <w:r w:rsidRPr="00EE59A7">
        <w:rPr>
          <w:rFonts w:ascii="Arial" w:eastAsia="Times New Roman" w:hAnsi="Arial" w:cs="Arial"/>
        </w:rPr>
        <w:t xml:space="preserve"> for $________ to be repaid with note proceeds received in </w:t>
      </w:r>
      <w:r w:rsidRPr="00F34E2E">
        <w:rPr>
          <w:rFonts w:ascii="Arial" w:eastAsia="Times New Roman" w:hAnsi="Arial" w:cs="Arial"/>
          <w:color w:val="0000FF"/>
        </w:rPr>
        <w:t>[Date]</w:t>
      </w:r>
      <w:r w:rsidRPr="00EE59A7">
        <w:rPr>
          <w:rFonts w:ascii="Arial" w:eastAsia="Times New Roman" w:hAnsi="Arial" w:cs="Arial"/>
        </w:rPr>
        <w:t xml:space="preserve"> as disclosed </w:t>
      </w:r>
      <w:r w:rsidRPr="00EE59A7">
        <w:rPr>
          <w:rFonts w:ascii="Arial" w:eastAsia="Times New Roman" w:hAnsi="Arial" w:cs="Arial"/>
        </w:rPr>
        <w:lastRenderedPageBreak/>
        <w:t xml:space="preserve">in Subsequent Event Note ___. </w:t>
      </w:r>
      <w:r w:rsidRPr="00F34E2E">
        <w:rPr>
          <w:rFonts w:ascii="Arial" w:eastAsia="Times New Roman" w:hAnsi="Arial" w:cs="Arial"/>
          <w:color w:val="0000FF"/>
        </w:rPr>
        <w:t>[Provide a description of what the proceeds were used to finance].</w:t>
      </w:r>
    </w:p>
    <w:p w14:paraId="34F821ED" w14:textId="77777777" w:rsidR="005558B6" w:rsidRPr="00507A59" w:rsidRDefault="005558B6" w:rsidP="00A66832">
      <w:pPr>
        <w:spacing w:after="240" w:line="240" w:lineRule="auto"/>
        <w:ind w:left="360"/>
        <w:jc w:val="both"/>
        <w:rPr>
          <w:rFonts w:ascii="Arial" w:eastAsia="Times New Roman" w:hAnsi="Arial" w:cs="Arial"/>
          <w:b/>
          <w:i/>
          <w:color w:val="0000FF"/>
        </w:rPr>
      </w:pPr>
      <w:r w:rsidRPr="00EE59A7">
        <w:rPr>
          <w:rFonts w:ascii="Arial" w:eastAsia="Times New Roman" w:hAnsi="Arial" w:cs="Arial"/>
          <w:b/>
          <w:i/>
          <w:color w:val="0000FF"/>
        </w:rPr>
        <w:t>[</w:t>
      </w:r>
      <w:r w:rsidRPr="00507A59">
        <w:rPr>
          <w:rFonts w:ascii="Arial" w:eastAsia="Times New Roman" w:hAnsi="Arial" w:cs="Arial"/>
          <w:b/>
          <w:i/>
          <w:color w:val="0000FF"/>
        </w:rPr>
        <w:t>See GASB Statement 62 paragraph 36-40]</w:t>
      </w:r>
    </w:p>
    <w:p w14:paraId="2E3A5625" w14:textId="77777777" w:rsidR="005558B6" w:rsidRPr="00507A59" w:rsidRDefault="005558B6" w:rsidP="00A66832">
      <w:pPr>
        <w:spacing w:after="240" w:line="240" w:lineRule="auto"/>
        <w:ind w:left="360" w:hanging="360"/>
        <w:jc w:val="both"/>
        <w:rPr>
          <w:rFonts w:ascii="Arial" w:eastAsia="Times New Roman" w:hAnsi="Arial" w:cs="Arial"/>
          <w:b/>
          <w:i/>
          <w:color w:val="0000FF"/>
        </w:rPr>
      </w:pPr>
      <w:r w:rsidRPr="00F34E2E">
        <w:rPr>
          <w:rFonts w:ascii="Arial" w:eastAsia="Times New Roman" w:hAnsi="Arial" w:cs="Arial"/>
          <w:b/>
        </w:rPr>
        <w:t>G.</w:t>
      </w:r>
      <w:r w:rsidRPr="00F34E2E">
        <w:rPr>
          <w:rFonts w:ascii="Arial" w:eastAsia="Times New Roman" w:hAnsi="Arial" w:cs="Arial"/>
          <w:b/>
          <w:i/>
          <w:color w:val="0000FF"/>
        </w:rPr>
        <w:t xml:space="preserve"> </w:t>
      </w:r>
      <w:r w:rsidRPr="00F34E2E">
        <w:rPr>
          <w:rFonts w:ascii="Arial" w:eastAsia="Times New Roman" w:hAnsi="Arial" w:cs="Arial"/>
          <w:b/>
          <w:i/>
          <w:color w:val="0000FF"/>
        </w:rPr>
        <w:tab/>
      </w:r>
      <w:r w:rsidRPr="00F34E2E">
        <w:rPr>
          <w:rFonts w:ascii="Arial" w:eastAsia="Times New Roman" w:hAnsi="Arial" w:cs="Arial"/>
          <w:b/>
        </w:rPr>
        <w:t xml:space="preserve">Asset Retirement Obligations </w:t>
      </w:r>
      <w:r w:rsidRPr="00F34E2E">
        <w:rPr>
          <w:rFonts w:ascii="Arial" w:eastAsia="Times New Roman" w:hAnsi="Arial" w:cs="Arial"/>
        </w:rPr>
        <w:t xml:space="preserve">- </w:t>
      </w:r>
      <w:r w:rsidRPr="00F34E2E">
        <w:rPr>
          <w:rFonts w:ascii="Arial" w:eastAsia="Times New Roman" w:hAnsi="Arial" w:cs="Arial"/>
          <w:b/>
          <w:i/>
          <w:color w:val="0000FF"/>
        </w:rPr>
        <w:t>[See GASB 83 para. 27-29 for specific disclosure requirements. An example is provided as follows.]</w:t>
      </w:r>
      <w:r w:rsidRPr="00F34E2E">
        <w:rPr>
          <w:rFonts w:ascii="Arial" w:eastAsia="Times New Roman" w:hAnsi="Arial" w:cs="Arial"/>
        </w:rPr>
        <w:t xml:space="preserve"> The College has recognized asset retirement obligations for </w:t>
      </w:r>
      <w:r w:rsidRPr="00F34E2E">
        <w:rPr>
          <w:rFonts w:ascii="Arial" w:eastAsia="Times New Roman" w:hAnsi="Arial" w:cs="Arial"/>
          <w:b/>
          <w:color w:val="0000FF"/>
        </w:rPr>
        <w:t>[describe the nature and source of obligation(s). Should include information about the associated capital asset]</w:t>
      </w:r>
      <w:r w:rsidRPr="00F34E2E">
        <w:rPr>
          <w:rFonts w:ascii="Arial" w:eastAsia="Times New Roman" w:hAnsi="Arial" w:cs="Arial"/>
        </w:rPr>
        <w:t xml:space="preserve">. The amount of the estimated liability is $________. This estimate was calculated </w:t>
      </w:r>
      <w:r w:rsidRPr="00F34E2E">
        <w:rPr>
          <w:rFonts w:ascii="Arial" w:eastAsia="Times New Roman" w:hAnsi="Arial" w:cs="Arial"/>
          <w:b/>
          <w:color w:val="0000FF"/>
        </w:rPr>
        <w:t>[describe the methods and assumptions used to measure the liability]</w:t>
      </w:r>
      <w:r w:rsidRPr="00F34E2E">
        <w:rPr>
          <w:rFonts w:ascii="Arial" w:eastAsia="Times New Roman" w:hAnsi="Arial" w:cs="Arial"/>
        </w:rPr>
        <w:t xml:space="preserve">. The estimated remaining useful life for </w:t>
      </w:r>
      <w:r w:rsidRPr="00F34E2E">
        <w:rPr>
          <w:rFonts w:ascii="Arial" w:eastAsia="Times New Roman" w:hAnsi="Arial" w:cs="Arial"/>
          <w:b/>
          <w:color w:val="0000FF"/>
        </w:rPr>
        <w:t>[associated capital asset]</w:t>
      </w:r>
      <w:r w:rsidRPr="00F34E2E">
        <w:rPr>
          <w:rFonts w:ascii="Arial" w:eastAsia="Times New Roman" w:hAnsi="Arial" w:cs="Arial"/>
        </w:rPr>
        <w:t xml:space="preserve"> is </w:t>
      </w:r>
      <w:r w:rsidRPr="00F34E2E">
        <w:rPr>
          <w:rFonts w:ascii="Arial" w:eastAsia="Times New Roman" w:hAnsi="Arial" w:cs="Arial"/>
          <w:b/>
          <w:color w:val="0000FF"/>
        </w:rPr>
        <w:t>XX</w:t>
      </w:r>
      <w:r w:rsidRPr="00F34E2E">
        <w:rPr>
          <w:rFonts w:ascii="Arial" w:eastAsia="Times New Roman" w:hAnsi="Arial" w:cs="Arial"/>
        </w:rPr>
        <w:t xml:space="preserve"> years. Funding and assurance provisions associated with this obligation are being met through the use of </w:t>
      </w:r>
      <w:r w:rsidRPr="00F34E2E">
        <w:rPr>
          <w:rFonts w:ascii="Arial" w:eastAsia="Times New Roman" w:hAnsi="Arial" w:cs="Arial"/>
          <w:b/>
          <w:color w:val="0000FF"/>
        </w:rPr>
        <w:t>[surety bonds, insurance policies, letters of credit, etc.]</w:t>
      </w:r>
      <w:r w:rsidRPr="00F34E2E">
        <w:rPr>
          <w:rFonts w:ascii="Arial" w:eastAsia="Times New Roman" w:hAnsi="Arial" w:cs="Arial"/>
        </w:rPr>
        <w:t xml:space="preserve">. Assets in the amount of $_______ are restricted for the payment of these obligations. </w:t>
      </w:r>
      <w:r w:rsidRPr="00F34E2E">
        <w:rPr>
          <w:rFonts w:ascii="Arial" w:eastAsia="Times New Roman" w:hAnsi="Arial" w:cs="Arial"/>
          <w:b/>
          <w:i/>
          <w:color w:val="0000FF"/>
        </w:rPr>
        <w:t>[Omit if not applicable. Modify as necessary.]</w:t>
      </w:r>
    </w:p>
    <w:p w14:paraId="0F078324" w14:textId="77777777" w:rsidR="005558B6" w:rsidRPr="00F34E2E" w:rsidRDefault="005558B6" w:rsidP="00A66832">
      <w:pPr>
        <w:spacing w:after="240" w:line="240" w:lineRule="auto"/>
        <w:ind w:left="360"/>
        <w:jc w:val="both"/>
        <w:rPr>
          <w:rFonts w:ascii="Arial" w:eastAsia="Times New Roman" w:hAnsi="Arial" w:cs="Arial"/>
          <w:b/>
        </w:rPr>
      </w:pPr>
      <w:r w:rsidRPr="00F34E2E">
        <w:rPr>
          <w:rFonts w:ascii="Arial" w:eastAsia="Times New Roman" w:hAnsi="Arial" w:cs="Arial"/>
        </w:rPr>
        <w:t xml:space="preserve">The College has an asset retirement obligation that could not yet be recognized because it is not reasonably estimable. This liability </w:t>
      </w:r>
      <w:r w:rsidRPr="00F34E2E">
        <w:rPr>
          <w:rFonts w:ascii="Arial" w:eastAsia="Times New Roman" w:hAnsi="Arial" w:cs="Arial"/>
          <w:b/>
          <w:color w:val="0000FF"/>
        </w:rPr>
        <w:t>[provide a general description of the nature of the obligation and reasons it is not reasonably estimable]</w:t>
      </w:r>
      <w:r w:rsidRPr="00F34E2E">
        <w:rPr>
          <w:rFonts w:ascii="Arial" w:eastAsia="Times New Roman" w:hAnsi="Arial" w:cs="Arial"/>
          <w:b/>
        </w:rPr>
        <w:t xml:space="preserve">. </w:t>
      </w:r>
      <w:r w:rsidRPr="00F34E2E">
        <w:rPr>
          <w:rFonts w:ascii="Arial" w:eastAsia="Times New Roman" w:hAnsi="Arial" w:cs="Arial"/>
          <w:b/>
          <w:i/>
          <w:color w:val="0000FF"/>
        </w:rPr>
        <w:t>[Omit if not applicable. Modify as necessary.]</w:t>
      </w:r>
    </w:p>
    <w:p w14:paraId="2E3EAA4F" w14:textId="77777777" w:rsidR="005558B6" w:rsidRPr="005A31CF" w:rsidRDefault="005558B6" w:rsidP="00A66832">
      <w:pPr>
        <w:spacing w:after="240" w:line="240" w:lineRule="auto"/>
        <w:ind w:left="360"/>
        <w:jc w:val="both"/>
        <w:rPr>
          <w:rFonts w:ascii="Arial" w:eastAsia="Times New Roman" w:hAnsi="Arial" w:cs="Arial"/>
          <w:b/>
          <w:i/>
          <w:color w:val="0000FF"/>
        </w:rPr>
      </w:pPr>
      <w:r w:rsidRPr="00F34E2E">
        <w:rPr>
          <w:rFonts w:ascii="Arial" w:eastAsia="Times New Roman" w:hAnsi="Arial" w:cs="Arial"/>
        </w:rPr>
        <w:t xml:space="preserve">The College has a minority share of an asset retirement obligation related to </w:t>
      </w:r>
      <w:r w:rsidRPr="00F34E2E">
        <w:rPr>
          <w:rFonts w:ascii="Arial" w:eastAsia="Times New Roman" w:hAnsi="Arial" w:cs="Arial"/>
          <w:b/>
          <w:color w:val="0000FF"/>
        </w:rPr>
        <w:t>[disclose asset and joint agreement. See GASB 83, paragraph 29 for required elements]</w:t>
      </w:r>
      <w:r w:rsidRPr="00F34E2E">
        <w:rPr>
          <w:rFonts w:ascii="Arial" w:eastAsia="Times New Roman" w:hAnsi="Arial" w:cs="Arial"/>
        </w:rPr>
        <w:t xml:space="preserve">. </w:t>
      </w:r>
      <w:r w:rsidRPr="00F34E2E">
        <w:rPr>
          <w:rFonts w:ascii="Arial" w:eastAsia="Times New Roman" w:hAnsi="Arial" w:cs="Arial"/>
          <w:b/>
          <w:i/>
          <w:color w:val="0000FF"/>
        </w:rPr>
        <w:t>[Omit if not applicable. Modify as necessary.]</w:t>
      </w:r>
    </w:p>
    <w:p w14:paraId="35187550" w14:textId="72CD34F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10</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r>
      <w:r w:rsidRPr="00A66832">
        <w:rPr>
          <w:rFonts w:ascii="Arial Bold" w:eastAsia="Times New Roman" w:hAnsi="Arial Bold" w:cs="Times New Roman"/>
          <w:b/>
          <w:smallCaps/>
          <w:kern w:val="28"/>
          <w:szCs w:val="20"/>
          <w:highlight w:val="yellow"/>
        </w:rPr>
        <w:t>Leases</w:t>
      </w:r>
    </w:p>
    <w:p w14:paraId="4DC44E95" w14:textId="77777777" w:rsidR="00987869" w:rsidRDefault="00987869" w:rsidP="00A66832">
      <w:pPr>
        <w:pStyle w:val="NOTES1A"/>
        <w:ind w:left="0" w:firstLine="0"/>
        <w:rPr>
          <w:rFonts w:ascii="Arial" w:hAnsi="Arial" w:cs="Arial"/>
          <w:sz w:val="22"/>
          <w:szCs w:val="22"/>
          <w:highlight w:val="yellow"/>
        </w:rPr>
      </w:pPr>
      <w:r>
        <w:rPr>
          <w:rFonts w:ascii="Arial" w:hAnsi="Arial" w:cs="Arial"/>
          <w:sz w:val="22"/>
          <w:szCs w:val="22"/>
          <w:highlight w:val="yellow"/>
        </w:rPr>
        <w:t>The College’s leasing arrangements at June 30, 2022 are summarized below (excluding short-term leases)</w:t>
      </w:r>
      <w:r w:rsidRPr="00E565F0">
        <w:rPr>
          <w:rFonts w:ascii="Arial" w:hAnsi="Arial" w:cs="Arial"/>
          <w:sz w:val="22"/>
          <w:szCs w:val="22"/>
          <w:highlight w:val="yellow"/>
        </w:rPr>
        <w:t>:</w:t>
      </w:r>
    </w:p>
    <w:bookmarkStart w:id="276" w:name="_MON_1713257111"/>
    <w:bookmarkEnd w:id="276"/>
    <w:p w14:paraId="7F078E61" w14:textId="41F875A3" w:rsidR="00987869" w:rsidRDefault="00003FA6" w:rsidP="00A66832">
      <w:pPr>
        <w:pStyle w:val="NOTES1A"/>
        <w:ind w:left="0" w:firstLine="0"/>
        <w:rPr>
          <w:rFonts w:ascii="Arial" w:hAnsi="Arial" w:cs="Arial"/>
          <w:sz w:val="22"/>
          <w:szCs w:val="22"/>
          <w:highlight w:val="yellow"/>
        </w:rPr>
      </w:pPr>
      <w:r>
        <w:rPr>
          <w:rFonts w:ascii="Arial" w:hAnsi="Arial" w:cs="Arial"/>
          <w:sz w:val="22"/>
          <w:szCs w:val="22"/>
          <w:highlight w:val="yellow"/>
        </w:rPr>
        <w:object w:dxaOrig="10756" w:dyaOrig="5126" w14:anchorId="7571EF67">
          <v:shape id="_x0000_i1040" type="#_x0000_t75" style="width:439.5pt;height:223.5pt;mso-position-horizontal:absolute" o:ole="">
            <v:imagedata r:id="rId44" o:title=""/>
          </v:shape>
          <o:OLEObject Type="Embed" ProgID="Excel.Sheet.12" ShapeID="_x0000_i1040" DrawAspect="Content" ObjectID="_1721553185" r:id="rId45"/>
        </w:object>
      </w:r>
    </w:p>
    <w:p w14:paraId="4D6CC178" w14:textId="4C096801" w:rsidR="00987869" w:rsidRPr="00325729" w:rsidRDefault="00987869" w:rsidP="00A66832">
      <w:pPr>
        <w:pStyle w:val="ListParagraph"/>
        <w:numPr>
          <w:ilvl w:val="0"/>
          <w:numId w:val="35"/>
        </w:numPr>
        <w:spacing w:after="160"/>
        <w:ind w:left="360"/>
        <w:jc w:val="both"/>
        <w:rPr>
          <w:rFonts w:ascii="Arial" w:hAnsi="Arial" w:cs="Arial"/>
          <w:b/>
          <w:sz w:val="22"/>
          <w:szCs w:val="22"/>
        </w:rPr>
      </w:pPr>
      <w:r w:rsidRPr="00E565F0">
        <w:rPr>
          <w:rFonts w:ascii="Arial" w:hAnsi="Arial" w:cs="Arial"/>
          <w:b/>
          <w:sz w:val="22"/>
          <w:szCs w:val="22"/>
        </w:rPr>
        <w:t>Lease Receivable</w:t>
      </w:r>
      <w:r w:rsidR="00325729">
        <w:rPr>
          <w:rFonts w:ascii="Arial" w:hAnsi="Arial" w:cs="Arial"/>
          <w:b/>
          <w:sz w:val="22"/>
          <w:szCs w:val="22"/>
        </w:rPr>
        <w:t xml:space="preserve"> </w:t>
      </w:r>
      <w:r w:rsidR="00325729" w:rsidRPr="00325729">
        <w:rPr>
          <w:rFonts w:ascii="Arial" w:hAnsi="Arial" w:cs="Arial"/>
          <w:sz w:val="22"/>
          <w:szCs w:val="22"/>
        </w:rPr>
        <w:t xml:space="preserve">- </w:t>
      </w:r>
      <w:r w:rsidRPr="00325729">
        <w:rPr>
          <w:rFonts w:ascii="Arial" w:hAnsi="Arial" w:cs="Arial"/>
          <w:b/>
          <w:i/>
          <w:color w:val="0000FF"/>
          <w:sz w:val="22"/>
          <w:szCs w:val="22"/>
          <w:highlight w:val="yellow"/>
        </w:rPr>
        <w:t>[Note to preparer: See GASB Statement No. 87, paragraph 37 and 57 for disclosure requirements. An example is provided as follows:]</w:t>
      </w:r>
      <w:r w:rsidRPr="00325729">
        <w:rPr>
          <w:rFonts w:ascii="Arial" w:hAnsi="Arial" w:cs="Arial"/>
          <w:color w:val="0000FF"/>
          <w:sz w:val="22"/>
          <w:szCs w:val="22"/>
          <w:highlight w:val="yellow"/>
        </w:rPr>
        <w:t xml:space="preserve"> </w:t>
      </w:r>
      <w:r w:rsidRPr="00325729">
        <w:rPr>
          <w:rFonts w:ascii="Arial" w:hAnsi="Arial" w:cs="Arial"/>
          <w:sz w:val="22"/>
          <w:szCs w:val="22"/>
          <w:highlight w:val="yellow"/>
        </w:rPr>
        <w:t xml:space="preserve">Measurement of </w:t>
      </w:r>
      <w:r w:rsidRPr="00325729">
        <w:rPr>
          <w:rFonts w:ascii="Arial" w:hAnsi="Arial" w:cs="Arial"/>
          <w:sz w:val="22"/>
          <w:szCs w:val="22"/>
          <w:highlight w:val="yellow"/>
        </w:rPr>
        <w:lastRenderedPageBreak/>
        <w:t xml:space="preserve">the lease receivable excluded the following variable payment amounts: the increase or decrease in payments after the initial measurement of the lease receivable that depend on changes in an index or rate (such as the Consumer Price Index). </w:t>
      </w:r>
      <w:r w:rsidR="008B40D8" w:rsidRPr="008B40D8">
        <w:rPr>
          <w:rFonts w:ascii="Arial" w:hAnsi="Arial" w:cs="Arial"/>
          <w:color w:val="0000FF"/>
          <w:sz w:val="22"/>
          <w:szCs w:val="22"/>
          <w:highlight w:val="yellow"/>
        </w:rPr>
        <w:t>[</w:t>
      </w:r>
      <w:r w:rsidRPr="008B40D8">
        <w:rPr>
          <w:rFonts w:ascii="Arial" w:hAnsi="Arial" w:cs="Arial"/>
          <w:color w:val="0000FF"/>
          <w:sz w:val="22"/>
          <w:szCs w:val="22"/>
          <w:highlight w:val="yellow"/>
        </w:rPr>
        <w:t>The College recognized revenues of $_____ during the fiscal year for these changes in variable payments not previously included in the measurement of the lease receivable. The College also recognized revenues of $_____ for residual value guarantees and $_____ for termination payments not previously included in the measurement of the lease receivable.</w:t>
      </w:r>
      <w:r w:rsidR="008B40D8" w:rsidRPr="008B40D8">
        <w:rPr>
          <w:rFonts w:ascii="Arial" w:hAnsi="Arial" w:cs="Arial"/>
          <w:color w:val="0000FF"/>
          <w:sz w:val="22"/>
          <w:szCs w:val="22"/>
          <w:highlight w:val="yellow"/>
        </w:rPr>
        <w:t xml:space="preserve">] or </w:t>
      </w:r>
      <w:r w:rsidR="008B40D8">
        <w:rPr>
          <w:rFonts w:ascii="Arial" w:hAnsi="Arial" w:cs="Arial"/>
          <w:color w:val="0000FF"/>
          <w:sz w:val="22"/>
          <w:szCs w:val="22"/>
          <w:highlight w:val="yellow"/>
        </w:rPr>
        <w:t>[</w:t>
      </w:r>
      <w:r w:rsidR="008B40D8" w:rsidRPr="008B40D8">
        <w:rPr>
          <w:rFonts w:ascii="Arial" w:hAnsi="Arial" w:cs="Arial"/>
          <w:color w:val="0000FF"/>
          <w:sz w:val="22"/>
          <w:szCs w:val="22"/>
          <w:highlight w:val="yellow"/>
        </w:rPr>
        <w:t>During the year the College did not recognize any variable payment amounts.]</w:t>
      </w:r>
    </w:p>
    <w:p w14:paraId="6046FB7F" w14:textId="77777777" w:rsidR="00987869" w:rsidRPr="00E565F0" w:rsidRDefault="00987869" w:rsidP="00A66832">
      <w:pPr>
        <w:pStyle w:val="NOTES1A"/>
        <w:ind w:left="360" w:firstLine="0"/>
        <w:rPr>
          <w:rFonts w:ascii="Arial" w:hAnsi="Arial" w:cs="Arial"/>
          <w:b/>
          <w:i/>
          <w:color w:val="0000FF"/>
          <w:sz w:val="22"/>
          <w:szCs w:val="22"/>
          <w:highlight w:val="yellow"/>
        </w:rPr>
      </w:pPr>
      <w:r w:rsidRPr="00E565F0">
        <w:rPr>
          <w:rFonts w:ascii="Arial" w:hAnsi="Arial" w:cs="Arial"/>
          <w:b/>
          <w:i/>
          <w:color w:val="0000FF"/>
          <w:sz w:val="22"/>
          <w:szCs w:val="22"/>
          <w:highlight w:val="yellow"/>
        </w:rPr>
        <w:t>[Note to preparer:</w:t>
      </w:r>
      <w:r w:rsidRPr="00E565F0">
        <w:rPr>
          <w:rFonts w:ascii="Arial" w:hAnsi="Arial" w:cs="Arial"/>
          <w:sz w:val="22"/>
          <w:szCs w:val="22"/>
          <w:highlight w:val="yellow"/>
        </w:rPr>
        <w:t xml:space="preserve"> </w:t>
      </w:r>
      <w:r w:rsidRPr="00E565F0">
        <w:rPr>
          <w:rFonts w:ascii="Arial" w:hAnsi="Arial" w:cs="Arial"/>
          <w:b/>
          <w:i/>
          <w:color w:val="0000FF"/>
          <w:sz w:val="22"/>
          <w:szCs w:val="22"/>
          <w:highlight w:val="yellow"/>
        </w:rPr>
        <w:t xml:space="preserve">Additional disclosures are required if the </w:t>
      </w:r>
      <w:r>
        <w:rPr>
          <w:rFonts w:ascii="Arial" w:hAnsi="Arial" w:cs="Arial"/>
          <w:b/>
          <w:i/>
          <w:color w:val="0000FF"/>
          <w:sz w:val="22"/>
          <w:szCs w:val="22"/>
          <w:highlight w:val="yellow"/>
        </w:rPr>
        <w:t>College</w:t>
      </w:r>
      <w:r w:rsidRPr="00E565F0">
        <w:rPr>
          <w:rFonts w:ascii="Arial" w:hAnsi="Arial" w:cs="Arial"/>
          <w:b/>
          <w:i/>
          <w:color w:val="0000FF"/>
          <w:sz w:val="22"/>
          <w:szCs w:val="22"/>
          <w:highlight w:val="yellow"/>
        </w:rPr>
        <w:t>, as lessor, has issued debt for which the principal and interest payments are secured by the lease payments and the lessee has options to terminate the lease or abate payments. See GASB 87 paragraph 57d.]</w:t>
      </w:r>
    </w:p>
    <w:p w14:paraId="1E2B2E5A" w14:textId="77777777" w:rsidR="00987869" w:rsidRPr="00E565F0" w:rsidRDefault="00987869" w:rsidP="00A66832">
      <w:pPr>
        <w:pStyle w:val="NOTES1A"/>
        <w:ind w:left="360" w:firstLine="0"/>
        <w:rPr>
          <w:rFonts w:ascii="Arial" w:hAnsi="Arial" w:cs="Arial"/>
          <w:b/>
          <w:i/>
          <w:color w:val="0000FF"/>
          <w:sz w:val="22"/>
          <w:szCs w:val="22"/>
        </w:rPr>
      </w:pPr>
      <w:r w:rsidRPr="00E565F0">
        <w:rPr>
          <w:rFonts w:ascii="Arial" w:hAnsi="Arial" w:cs="Arial"/>
          <w:b/>
          <w:i/>
          <w:color w:val="0000FF"/>
          <w:sz w:val="22"/>
          <w:szCs w:val="22"/>
          <w:highlight w:val="yellow"/>
        </w:rPr>
        <w:t>[Note to preparer: Additional disclosures may be required for lease of investment assets, certain regulated leases, sublease transaction, sale-lease back transactions, and lease-leaseback transactions. See GASB 87 paragraphs 58-60.]</w:t>
      </w:r>
    </w:p>
    <w:p w14:paraId="3985984E" w14:textId="01AD3400" w:rsidR="00987869" w:rsidRPr="00325729" w:rsidRDefault="00987869" w:rsidP="00A66832">
      <w:pPr>
        <w:pStyle w:val="ListParagraph"/>
        <w:numPr>
          <w:ilvl w:val="0"/>
          <w:numId w:val="35"/>
        </w:numPr>
        <w:spacing w:after="160"/>
        <w:ind w:left="360"/>
        <w:jc w:val="both"/>
        <w:rPr>
          <w:rFonts w:ascii="Arial" w:hAnsi="Arial" w:cs="Arial"/>
          <w:b/>
          <w:sz w:val="22"/>
          <w:szCs w:val="22"/>
        </w:rPr>
      </w:pPr>
      <w:r w:rsidRPr="00E565F0">
        <w:rPr>
          <w:rFonts w:ascii="Arial" w:hAnsi="Arial" w:cs="Arial"/>
          <w:b/>
          <w:sz w:val="22"/>
          <w:szCs w:val="22"/>
        </w:rPr>
        <w:t>Lease Liability</w:t>
      </w:r>
      <w:r w:rsidR="00325729">
        <w:rPr>
          <w:rFonts w:ascii="Arial" w:hAnsi="Arial" w:cs="Arial"/>
          <w:b/>
          <w:sz w:val="22"/>
          <w:szCs w:val="22"/>
        </w:rPr>
        <w:t xml:space="preserve"> </w:t>
      </w:r>
      <w:r w:rsidR="00325729" w:rsidRPr="00325729">
        <w:rPr>
          <w:rFonts w:ascii="Arial" w:hAnsi="Arial" w:cs="Arial"/>
          <w:sz w:val="22"/>
          <w:szCs w:val="22"/>
        </w:rPr>
        <w:t xml:space="preserve">- </w:t>
      </w:r>
      <w:r w:rsidRPr="00325729">
        <w:rPr>
          <w:rFonts w:ascii="Arial" w:hAnsi="Arial" w:cs="Arial"/>
          <w:b/>
          <w:i/>
          <w:color w:val="0000FF"/>
          <w:sz w:val="22"/>
          <w:szCs w:val="22"/>
          <w:highlight w:val="yellow"/>
        </w:rPr>
        <w:t>[Note to preparer: See GASB Statement No. 87, paragraph 37 and 57 for disclosure requirements. An example is provided as follows:]</w:t>
      </w:r>
      <w:r w:rsidRPr="00325729">
        <w:rPr>
          <w:rFonts w:ascii="Arial" w:hAnsi="Arial" w:cs="Arial"/>
          <w:color w:val="0000FF"/>
          <w:sz w:val="22"/>
          <w:szCs w:val="22"/>
          <w:highlight w:val="yellow"/>
        </w:rPr>
        <w:t xml:space="preserve"> </w:t>
      </w:r>
      <w:r w:rsidRPr="00325729">
        <w:rPr>
          <w:rFonts w:ascii="Arial" w:hAnsi="Arial" w:cs="Arial"/>
          <w:sz w:val="22"/>
          <w:szCs w:val="22"/>
          <w:highlight w:val="yellow"/>
        </w:rPr>
        <w:t xml:space="preserve">Measurement of the lease liability excluded the following variable payment amounts: 1) the increase or decrease in payments after the initial measurement of the lease liability that depend on changes in an index or rate (such as the Consumer Price Index) and 2) payments based on future performance or usage of the underlying assets. </w:t>
      </w:r>
      <w:r w:rsidR="008B40D8" w:rsidRPr="008B40D8">
        <w:rPr>
          <w:rFonts w:ascii="Arial" w:hAnsi="Arial" w:cs="Arial"/>
          <w:color w:val="0000FF"/>
          <w:sz w:val="22"/>
          <w:szCs w:val="22"/>
          <w:highlight w:val="yellow"/>
        </w:rPr>
        <w:t>[</w:t>
      </w:r>
      <w:r w:rsidRPr="008B40D8">
        <w:rPr>
          <w:rFonts w:ascii="Arial" w:hAnsi="Arial" w:cs="Arial"/>
          <w:color w:val="0000FF"/>
          <w:sz w:val="22"/>
          <w:szCs w:val="22"/>
          <w:highlight w:val="yellow"/>
        </w:rPr>
        <w:t>During the fiscal year, the College recognized expenses of $</w:t>
      </w:r>
      <w:r w:rsidR="007D465A" w:rsidRPr="008B40D8">
        <w:rPr>
          <w:rFonts w:ascii="Arial" w:hAnsi="Arial" w:cs="Arial"/>
          <w:color w:val="0000FF"/>
          <w:sz w:val="22"/>
          <w:szCs w:val="22"/>
          <w:highlight w:val="yellow"/>
        </w:rPr>
        <w:t xml:space="preserve">   </w:t>
      </w:r>
      <w:r w:rsidRPr="008B40D8">
        <w:rPr>
          <w:rFonts w:ascii="Arial" w:hAnsi="Arial" w:cs="Arial"/>
          <w:color w:val="0000FF"/>
          <w:sz w:val="22"/>
          <w:szCs w:val="22"/>
          <w:highlight w:val="yellow"/>
        </w:rPr>
        <w:t>for these changes in variable payments not previously included in the measurement of the lease liability. The College also recognized expenses of $_____ for residual value guarantees and $_____ for termination payments not previously included in the measurement of the lease liability.</w:t>
      </w:r>
      <w:r w:rsidR="008B40D8" w:rsidRPr="008B40D8">
        <w:rPr>
          <w:rFonts w:ascii="Arial" w:hAnsi="Arial" w:cs="Arial"/>
          <w:color w:val="0000FF"/>
          <w:sz w:val="22"/>
          <w:szCs w:val="22"/>
          <w:highlight w:val="yellow"/>
        </w:rPr>
        <w:t>] or [During the year the College did not recognize any variable payment amounts.]</w:t>
      </w:r>
      <w:r w:rsidRPr="008B40D8">
        <w:rPr>
          <w:rFonts w:ascii="Arial" w:hAnsi="Arial" w:cs="Arial"/>
          <w:color w:val="0000FF"/>
          <w:sz w:val="22"/>
          <w:szCs w:val="22"/>
          <w:highlight w:val="yellow"/>
        </w:rPr>
        <w:t xml:space="preserve"> </w:t>
      </w:r>
    </w:p>
    <w:p w14:paraId="0954732B" w14:textId="77777777" w:rsidR="00A66832" w:rsidRDefault="00987869" w:rsidP="00A66832">
      <w:pPr>
        <w:spacing w:after="240" w:line="240" w:lineRule="auto"/>
        <w:ind w:left="360"/>
        <w:jc w:val="both"/>
        <w:rPr>
          <w:rFonts w:ascii="Arial" w:eastAsia="Times New Roman" w:hAnsi="Arial" w:cs="Arial"/>
          <w:color w:val="0000FF"/>
          <w:highlight w:val="yellow"/>
        </w:rPr>
      </w:pPr>
      <w:r w:rsidRPr="00E565F0">
        <w:rPr>
          <w:rFonts w:ascii="Arial" w:hAnsi="Arial" w:cs="Arial"/>
          <w:highlight w:val="yellow"/>
        </w:rPr>
        <w:t xml:space="preserve">The </w:t>
      </w:r>
      <w:r>
        <w:rPr>
          <w:rFonts w:ascii="Arial" w:hAnsi="Arial" w:cs="Arial"/>
          <w:highlight w:val="yellow"/>
        </w:rPr>
        <w:t>College</w:t>
      </w:r>
      <w:r w:rsidRPr="00E565F0">
        <w:rPr>
          <w:rFonts w:ascii="Arial" w:hAnsi="Arial" w:cs="Arial"/>
          <w:highlight w:val="yellow"/>
        </w:rPr>
        <w:t xml:space="preserve"> had commitments under leases before the lease term as follows: a five-year lease agreement for the right to use _____ (describe leased asset) beginning ____ (insert commencement date) with total payments over the period of $_____.</w:t>
      </w:r>
      <w:r w:rsidR="008B40D8">
        <w:rPr>
          <w:rFonts w:ascii="Arial" w:hAnsi="Arial" w:cs="Arial"/>
          <w:highlight w:val="yellow"/>
        </w:rPr>
        <w:t xml:space="preserve"> </w:t>
      </w:r>
      <w:r w:rsidR="008B40D8" w:rsidRPr="00862193">
        <w:rPr>
          <w:rFonts w:ascii="Arial" w:eastAsia="Times New Roman" w:hAnsi="Arial" w:cs="Arial"/>
          <w:color w:val="0000FF"/>
          <w:highlight w:val="yellow"/>
        </w:rPr>
        <w:t>[remove is none]</w:t>
      </w:r>
    </w:p>
    <w:p w14:paraId="47DE6951" w14:textId="07D2F40B" w:rsidR="00987869" w:rsidRPr="00E565F0" w:rsidRDefault="00987869" w:rsidP="00A66832">
      <w:pPr>
        <w:spacing w:after="240" w:line="240" w:lineRule="auto"/>
        <w:ind w:left="360"/>
        <w:jc w:val="both"/>
        <w:rPr>
          <w:rFonts w:ascii="Arial" w:hAnsi="Arial" w:cs="Arial"/>
          <w:highlight w:val="yellow"/>
        </w:rPr>
      </w:pPr>
      <w:r w:rsidRPr="00E565F0">
        <w:rPr>
          <w:rFonts w:ascii="Arial" w:hAnsi="Arial" w:cs="Arial"/>
          <w:highlight w:val="yellow"/>
        </w:rPr>
        <w:t xml:space="preserve">Future principal and interest lease payments as of June 30, 2022 were as follows: </w:t>
      </w:r>
    </w:p>
    <w:bookmarkStart w:id="277" w:name="_MON_1715499044"/>
    <w:bookmarkEnd w:id="277"/>
    <w:p w14:paraId="3A7B21AB" w14:textId="52EB0B4F" w:rsidR="00987869" w:rsidRPr="00E565F0" w:rsidRDefault="00DC73A5" w:rsidP="00A66832">
      <w:pPr>
        <w:pStyle w:val="NOTES1A"/>
        <w:ind w:left="360" w:firstLine="0"/>
        <w:jc w:val="center"/>
        <w:rPr>
          <w:rFonts w:ascii="Arial" w:hAnsi="Arial" w:cs="Arial"/>
          <w:sz w:val="22"/>
          <w:szCs w:val="22"/>
          <w:highlight w:val="yellow"/>
        </w:rPr>
      </w:pPr>
      <w:r w:rsidRPr="00E565F0">
        <w:rPr>
          <w:rFonts w:ascii="Arial" w:hAnsi="Arial" w:cs="Arial"/>
          <w:sz w:val="22"/>
          <w:szCs w:val="22"/>
          <w:highlight w:val="yellow"/>
        </w:rPr>
        <w:object w:dxaOrig="7008" w:dyaOrig="3153" w14:anchorId="2EFA2759">
          <v:shape id="_x0000_i1041" type="#_x0000_t75" style="width:316.5pt;height:2in" o:ole="">
            <v:imagedata r:id="rId46" o:title=""/>
          </v:shape>
          <o:OLEObject Type="Embed" ProgID="Excel.Sheet.12" ShapeID="_x0000_i1041" DrawAspect="Content" ObjectID="_1721553186" r:id="rId47"/>
        </w:object>
      </w:r>
    </w:p>
    <w:p w14:paraId="20C75D69" w14:textId="77777777" w:rsidR="00987869" w:rsidRPr="00E565F0" w:rsidRDefault="00987869" w:rsidP="00A66832">
      <w:pPr>
        <w:pStyle w:val="NOTES1A"/>
        <w:ind w:left="360" w:firstLine="0"/>
        <w:rPr>
          <w:rFonts w:ascii="Arial" w:hAnsi="Arial" w:cs="Arial"/>
          <w:b/>
          <w:i/>
          <w:color w:val="0000FF"/>
          <w:sz w:val="22"/>
          <w:szCs w:val="22"/>
          <w:highlight w:val="yellow"/>
        </w:rPr>
      </w:pPr>
      <w:r w:rsidRPr="00E565F0">
        <w:rPr>
          <w:rFonts w:ascii="Arial" w:hAnsi="Arial" w:cs="Arial"/>
          <w:b/>
          <w:i/>
          <w:color w:val="0000FF"/>
          <w:sz w:val="22"/>
          <w:szCs w:val="22"/>
          <w:highlight w:val="yellow"/>
        </w:rPr>
        <w:t>[Note to preparer: If a leased asset is impaired (described in paragraph 9 of Statement 42) additional disclosures are required. See GASB 87 paragraph 34 and 37h for additional information.]</w:t>
      </w:r>
    </w:p>
    <w:p w14:paraId="1B575924" w14:textId="77777777" w:rsidR="00987869" w:rsidRPr="00E565F0" w:rsidRDefault="00987869" w:rsidP="00A66832">
      <w:pPr>
        <w:pStyle w:val="NOTES1A"/>
        <w:ind w:left="360" w:firstLine="0"/>
        <w:rPr>
          <w:rFonts w:ascii="Arial" w:hAnsi="Arial" w:cs="Arial"/>
          <w:b/>
          <w:i/>
          <w:color w:val="0000FF"/>
          <w:sz w:val="22"/>
          <w:szCs w:val="22"/>
          <w:highlight w:val="yellow"/>
        </w:rPr>
      </w:pPr>
      <w:r w:rsidRPr="00E565F0">
        <w:rPr>
          <w:rFonts w:ascii="Arial" w:hAnsi="Arial" w:cs="Arial"/>
          <w:b/>
          <w:i/>
          <w:color w:val="0000FF"/>
          <w:sz w:val="22"/>
          <w:szCs w:val="22"/>
          <w:highlight w:val="yellow"/>
        </w:rPr>
        <w:lastRenderedPageBreak/>
        <w:t>[Note to preparer: The amount of collateral pledged as a security for a lease should be disclosed unless that collateral is solely the asset underlying the lease. See GASB 87 paragraph 39.]</w:t>
      </w:r>
    </w:p>
    <w:p w14:paraId="70B1F0DB" w14:textId="1C616B77" w:rsidR="00987869" w:rsidRPr="00987869" w:rsidRDefault="00987869" w:rsidP="00A66832">
      <w:pPr>
        <w:pStyle w:val="NOTES1A"/>
        <w:ind w:left="360" w:firstLine="0"/>
        <w:rPr>
          <w:rFonts w:ascii="Arial" w:hAnsi="Arial" w:cs="Arial"/>
          <w:b/>
          <w:i/>
          <w:color w:val="0000FF"/>
          <w:sz w:val="22"/>
          <w:szCs w:val="22"/>
          <w:highlight w:val="yellow"/>
        </w:rPr>
      </w:pPr>
      <w:r w:rsidRPr="00E565F0">
        <w:rPr>
          <w:rFonts w:ascii="Arial" w:hAnsi="Arial" w:cs="Arial"/>
          <w:b/>
          <w:i/>
          <w:color w:val="0000FF"/>
          <w:sz w:val="22"/>
          <w:szCs w:val="22"/>
          <w:highlight w:val="yellow"/>
        </w:rPr>
        <w:t>[Note to preparer: GASB 87 requires additional disclosures for sublease transactions, sale-leaseback transactions, and lease-leaseback transactions. See GASB 87 paragraph 38 for further information.]</w:t>
      </w:r>
    </w:p>
    <w:p w14:paraId="007673D0"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11</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Net Position</w:t>
      </w:r>
    </w:p>
    <w:p w14:paraId="5B459F98" w14:textId="77777777" w:rsidR="005558B6" w:rsidRPr="00751C1A" w:rsidRDefault="005558B6" w:rsidP="00A66832">
      <w:pPr>
        <w:spacing w:after="240" w:line="240" w:lineRule="auto"/>
        <w:jc w:val="both"/>
        <w:rPr>
          <w:rFonts w:ascii="Arial" w:eastAsia="Times New Roman" w:hAnsi="Arial" w:cs="Arial"/>
          <w:b/>
          <w:i/>
          <w:color w:val="0000FF"/>
        </w:rPr>
      </w:pPr>
      <w:r w:rsidRPr="00641103">
        <w:rPr>
          <w:rFonts w:ascii="Arial" w:eastAsia="Times New Roman" w:hAnsi="Arial" w:cs="Arial"/>
          <w:b/>
          <w:i/>
          <w:color w:val="0000FF"/>
        </w:rPr>
        <w:t xml:space="preserve">[Per GASB 63 paragraph 14, describe any transactions that resulted in the recognition of a deferred outflow of resources or deferred inflow of resources in which a component of net position has been significantly affected. </w:t>
      </w:r>
      <w:r w:rsidRPr="00751C1A">
        <w:rPr>
          <w:rFonts w:ascii="Arial" w:eastAsia="Times New Roman" w:hAnsi="Arial" w:cs="Arial"/>
          <w:b/>
          <w:i/>
          <w:color w:val="0000FF"/>
        </w:rPr>
        <w:t>Common examples from the recognition of net pension liability and net OPB liability have been provided below. Another possible item includes Asset Retirement Obligations.]</w:t>
      </w:r>
    </w:p>
    <w:p w14:paraId="19086A6E" w14:textId="77777777" w:rsidR="005558B6" w:rsidRPr="00751C1A" w:rsidRDefault="005558B6" w:rsidP="00A66832">
      <w:pPr>
        <w:spacing w:after="240" w:line="240" w:lineRule="auto"/>
        <w:jc w:val="both"/>
        <w:rPr>
          <w:rFonts w:ascii="Arial" w:eastAsia="Times New Roman" w:hAnsi="Arial" w:cs="Arial"/>
        </w:rPr>
      </w:pPr>
      <w:r w:rsidRPr="00751C1A">
        <w:rPr>
          <w:rFonts w:ascii="Arial" w:eastAsia="Times New Roman" w:hAnsi="Arial" w:cs="Arial"/>
        </w:rPr>
        <w:t xml:space="preserve">Unrestricted net position has been significantly affected by transactions resulting from the recognition of deferred outflows of resources, deferred inflows of resources, and related long-term liabilities, as shown in the following table: </w:t>
      </w:r>
    </w:p>
    <w:bookmarkStart w:id="278" w:name="_MON_1585121165"/>
    <w:bookmarkEnd w:id="278"/>
    <w:bookmarkStart w:id="279" w:name="_MON_1650885719"/>
    <w:bookmarkEnd w:id="279"/>
    <w:p w14:paraId="72E7C597" w14:textId="71112C0C" w:rsidR="005558B6" w:rsidRDefault="007D465A" w:rsidP="00A66832">
      <w:pPr>
        <w:spacing w:after="240"/>
        <w:jc w:val="center"/>
      </w:pPr>
      <w:r w:rsidRPr="00751C1A">
        <w:object w:dxaOrig="8333" w:dyaOrig="3148" w14:anchorId="2F2C0650">
          <v:shape id="_x0000_i1042" type="#_x0000_t75" style="width:374.25pt;height:158.25pt" o:ole="">
            <v:imagedata r:id="rId48" o:title=""/>
          </v:shape>
          <o:OLEObject Type="Embed" ProgID="Excel.Sheet.12" ShapeID="_x0000_i1042" DrawAspect="Content" ObjectID="_1721553187" r:id="rId49"/>
        </w:object>
      </w:r>
    </w:p>
    <w:p w14:paraId="40942492" w14:textId="77777777" w:rsidR="005558B6" w:rsidRPr="00641103" w:rsidRDefault="005558B6" w:rsidP="00A66832">
      <w:pPr>
        <w:spacing w:after="240" w:line="240" w:lineRule="auto"/>
        <w:jc w:val="both"/>
        <w:rPr>
          <w:rFonts w:ascii="Arial" w:eastAsia="Times New Roman" w:hAnsi="Arial" w:cs="Arial"/>
        </w:rPr>
      </w:pPr>
      <w:r w:rsidRPr="00641103">
        <w:rPr>
          <w:rFonts w:ascii="Arial" w:eastAsia="Times New Roman" w:hAnsi="Arial" w:cs="Arial"/>
        </w:rPr>
        <w:t xml:space="preserve">See Notes </w:t>
      </w:r>
      <w:r w:rsidRPr="00D21499">
        <w:rPr>
          <w:rFonts w:ascii="Arial" w:eastAsia="Times New Roman" w:hAnsi="Arial" w:cs="Arial"/>
          <w:b/>
          <w:color w:val="0000FF"/>
        </w:rPr>
        <w:t>XX</w:t>
      </w:r>
      <w:r w:rsidRPr="00641103">
        <w:rPr>
          <w:rFonts w:ascii="Arial" w:eastAsia="Times New Roman" w:hAnsi="Arial" w:cs="Arial"/>
        </w:rPr>
        <w:t xml:space="preserve"> and </w:t>
      </w:r>
      <w:r w:rsidRPr="00D21499">
        <w:rPr>
          <w:rFonts w:ascii="Arial" w:eastAsia="Times New Roman" w:hAnsi="Arial" w:cs="Arial"/>
          <w:b/>
          <w:color w:val="0000FF"/>
        </w:rPr>
        <w:t>XX</w:t>
      </w:r>
      <w:r w:rsidRPr="00641103">
        <w:rPr>
          <w:rFonts w:ascii="Arial" w:eastAsia="Times New Roman" w:hAnsi="Arial" w:cs="Arial"/>
        </w:rPr>
        <w:t xml:space="preserve"> for detailed information regarding the amortization of the deferred outflows of resources and deferred inflows of resources relating to pensions and OPEB, respectively</w:t>
      </w:r>
      <w:r>
        <w:rPr>
          <w:rFonts w:ascii="Arial" w:eastAsia="Times New Roman" w:hAnsi="Arial" w:cs="Arial"/>
        </w:rPr>
        <w:t xml:space="preserve"> </w:t>
      </w:r>
      <w:r w:rsidRPr="00551807">
        <w:rPr>
          <w:rFonts w:ascii="Arial" w:eastAsia="Times New Roman" w:hAnsi="Arial" w:cs="Arial"/>
          <w:b/>
          <w:i/>
          <w:color w:val="0000FF"/>
        </w:rPr>
        <w:t>[modify to reference pension and OPEB disclosures]</w:t>
      </w:r>
      <w:r w:rsidRPr="00641103">
        <w:rPr>
          <w:rFonts w:ascii="Arial" w:eastAsia="Times New Roman" w:hAnsi="Arial" w:cs="Arial"/>
        </w:rPr>
        <w:t>.</w:t>
      </w:r>
    </w:p>
    <w:p w14:paraId="0E4BD27A"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12</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Revenues</w:t>
      </w:r>
    </w:p>
    <w:p w14:paraId="0DD65935" w14:textId="77777777" w:rsidR="005558B6" w:rsidRDefault="005558B6" w:rsidP="00A66832">
      <w:pPr>
        <w:spacing w:after="240" w:line="240" w:lineRule="auto"/>
        <w:jc w:val="both"/>
        <w:rPr>
          <w:rFonts w:ascii="Arial" w:eastAsia="Times New Roman" w:hAnsi="Arial" w:cs="Arial"/>
        </w:rPr>
      </w:pPr>
      <w:r w:rsidRPr="005A31CF">
        <w:rPr>
          <w:rFonts w:ascii="Arial" w:eastAsia="Times New Roman" w:hAnsi="Arial" w:cs="Arial"/>
        </w:rPr>
        <w:t xml:space="preserve">A summary of </w:t>
      </w:r>
      <w:r w:rsidRPr="00F34E2E">
        <w:rPr>
          <w:rFonts w:ascii="Arial" w:eastAsia="Times New Roman" w:hAnsi="Arial" w:cs="Arial"/>
        </w:rPr>
        <w:t>discounts</w:t>
      </w:r>
      <w:r w:rsidRPr="005A31CF">
        <w:rPr>
          <w:rFonts w:ascii="Arial" w:eastAsia="Times New Roman" w:hAnsi="Arial" w:cs="Arial"/>
        </w:rPr>
        <w:t xml:space="preserve"> and allowances by revenue classification is presented as follows:</w:t>
      </w:r>
    </w:p>
    <w:bookmarkStart w:id="280" w:name="_MON_1276942419"/>
    <w:bookmarkEnd w:id="280"/>
    <w:p w14:paraId="7328F348" w14:textId="7B07D10D" w:rsidR="005558B6" w:rsidRPr="005A31CF" w:rsidRDefault="00001936" w:rsidP="00001936">
      <w:pPr>
        <w:spacing w:after="240" w:line="240" w:lineRule="auto"/>
        <w:jc w:val="center"/>
        <w:rPr>
          <w:rFonts w:ascii="Arial" w:eastAsia="Times New Roman" w:hAnsi="Arial" w:cs="Arial"/>
        </w:rPr>
      </w:pPr>
      <w:r w:rsidRPr="00797467">
        <w:rPr>
          <w:rFonts w:ascii="Times New Roman" w:eastAsia="Times New Roman" w:hAnsi="Times New Roman" w:cs="Times New Roman"/>
          <w:b/>
          <w:smallCaps/>
          <w:sz w:val="24"/>
          <w:szCs w:val="24"/>
        </w:rPr>
        <w:object w:dxaOrig="10770" w:dyaOrig="7605" w14:anchorId="46FAFF82">
          <v:shape id="_x0000_i1043" type="#_x0000_t75" style="width:6in;height:303pt" o:ole="">
            <v:imagedata r:id="rId50" o:title=""/>
            <o:lock v:ext="edit" aspectratio="f"/>
          </v:shape>
          <o:OLEObject Type="Embed" ProgID="Excel.Sheet.12" ShapeID="_x0000_i1043" DrawAspect="Content" ObjectID="_1721553188" r:id="rId51"/>
        </w:object>
      </w:r>
    </w:p>
    <w:p w14:paraId="050A17BB" w14:textId="6F2931B0" w:rsidR="005558B6" w:rsidRDefault="005558B6" w:rsidP="00A66832">
      <w:pPr>
        <w:spacing w:after="240" w:line="240" w:lineRule="auto"/>
        <w:jc w:val="both"/>
        <w:rPr>
          <w:rFonts w:ascii="Arial" w:hAnsi="Arial" w:cs="Arial"/>
          <w:b/>
          <w:i/>
          <w:color w:val="0000FF"/>
        </w:rPr>
      </w:pPr>
      <w:bookmarkStart w:id="281" w:name="_MON_1220946061"/>
      <w:bookmarkStart w:id="282" w:name="_MON_1276942293"/>
      <w:bookmarkStart w:id="283" w:name="_MON_1276942372"/>
      <w:bookmarkStart w:id="284" w:name="_MON_1188275422"/>
      <w:bookmarkStart w:id="285" w:name="_MON_1276942419"/>
      <w:bookmarkStart w:id="286" w:name="_MON_1276942432"/>
      <w:bookmarkStart w:id="287" w:name="_MON_1276942443"/>
      <w:bookmarkStart w:id="288" w:name="_MON_1283840792"/>
      <w:bookmarkStart w:id="289" w:name="_MON_1305633851"/>
      <w:bookmarkStart w:id="290" w:name="_MON_1372676520"/>
      <w:bookmarkStart w:id="291" w:name="_MON_1372676526"/>
      <w:bookmarkStart w:id="292" w:name="_MON_1375524753"/>
      <w:bookmarkStart w:id="293" w:name="_MON_1401869319"/>
      <w:bookmarkStart w:id="294" w:name="_MON_1188275445"/>
      <w:bookmarkStart w:id="295" w:name="_MON_1188275502"/>
      <w:bookmarkStart w:id="296" w:name="_MON_1188275562"/>
      <w:bookmarkStart w:id="297" w:name="_MON_1188287735"/>
      <w:bookmarkStart w:id="298" w:name="_MON_1220945873"/>
      <w:bookmarkStart w:id="299" w:name="_MON_1220945987"/>
      <w:bookmarkStart w:id="300" w:name="_MON_1220945999"/>
      <w:bookmarkStart w:id="301" w:name="_MON_122094605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266CA0">
        <w:rPr>
          <w:rFonts w:ascii="Arial" w:hAnsi="Arial" w:cs="Arial"/>
          <w:b/>
          <w:i/>
          <w:color w:val="0000FF"/>
        </w:rPr>
        <w:t xml:space="preserve">[Note to Preparer: GASB Codification Section 2200.191 requires revenues to be reported by major source. The level of disaggregation of sales and services is up to the discretion of the </w:t>
      </w:r>
      <w:r>
        <w:rPr>
          <w:rFonts w:ascii="Arial" w:hAnsi="Arial" w:cs="Arial"/>
          <w:b/>
          <w:i/>
          <w:color w:val="0000FF"/>
        </w:rPr>
        <w:t>College</w:t>
      </w:r>
      <w:r w:rsidRPr="00266CA0">
        <w:rPr>
          <w:rFonts w:ascii="Arial" w:hAnsi="Arial" w:cs="Arial"/>
          <w:b/>
          <w:i/>
          <w:color w:val="0000FF"/>
        </w:rPr>
        <w:t xml:space="preserve"> based on the activity of each source of revenue. If the </w:t>
      </w:r>
      <w:r>
        <w:rPr>
          <w:rFonts w:ascii="Arial" w:hAnsi="Arial" w:cs="Arial"/>
          <w:b/>
          <w:i/>
          <w:color w:val="0000FF"/>
        </w:rPr>
        <w:t>College</w:t>
      </w:r>
      <w:r w:rsidRPr="00266CA0">
        <w:rPr>
          <w:rFonts w:ascii="Arial" w:hAnsi="Arial" w:cs="Arial"/>
          <w:b/>
          <w:i/>
          <w:color w:val="0000FF"/>
        </w:rPr>
        <w:t xml:space="preserve"> does </w:t>
      </w:r>
      <w:r w:rsidRPr="00266CA0">
        <w:rPr>
          <w:rFonts w:ascii="Arial" w:hAnsi="Arial" w:cs="Arial"/>
          <w:b/>
          <w:i/>
          <w:color w:val="0000FF"/>
          <w:u w:val="single"/>
        </w:rPr>
        <w:t>not</w:t>
      </w:r>
      <w:r w:rsidRPr="00266CA0">
        <w:rPr>
          <w:rFonts w:ascii="Arial" w:hAnsi="Arial" w:cs="Arial"/>
          <w:b/>
          <w:i/>
          <w:color w:val="0000FF"/>
        </w:rPr>
        <w:t xml:space="preserve"> have items (i.e. noncapital contributions, capital contributions, etc.) that are net of eliminations, discounts, uncollectibles, or other adjustments, they can be removed from the table above</w:t>
      </w:r>
      <w:r>
        <w:rPr>
          <w:rFonts w:ascii="Arial" w:hAnsi="Arial" w:cs="Arial"/>
          <w:b/>
          <w:i/>
          <w:color w:val="0000FF"/>
        </w:rPr>
        <w:t>.</w:t>
      </w:r>
      <w:r w:rsidRPr="00266CA0">
        <w:rPr>
          <w:rFonts w:ascii="Arial" w:hAnsi="Arial" w:cs="Arial"/>
          <w:b/>
          <w:i/>
          <w:color w:val="0000FF"/>
        </w:rPr>
        <w:t>]</w:t>
      </w:r>
    </w:p>
    <w:p w14:paraId="1A6431A3" w14:textId="5684C02A" w:rsidR="00627539" w:rsidRPr="00266CA0" w:rsidRDefault="00627539" w:rsidP="00A66832">
      <w:pPr>
        <w:spacing w:line="240" w:lineRule="auto"/>
        <w:jc w:val="both"/>
        <w:rPr>
          <w:rFonts w:ascii="Arial" w:hAnsi="Arial" w:cs="Arial"/>
          <w:b/>
          <w:i/>
          <w:color w:val="0000FF"/>
        </w:rPr>
      </w:pPr>
      <w:bookmarkStart w:id="302" w:name="_Hlk105047634"/>
      <w:r w:rsidRPr="008C40B0">
        <w:rPr>
          <w:rFonts w:ascii="Arial" w:hAnsi="Arial" w:cs="Arial"/>
          <w:b/>
          <w:i/>
          <w:color w:val="0000FF"/>
          <w:highlight w:val="yellow"/>
        </w:rPr>
        <w:t>[Note to Preparer: Include</w:t>
      </w:r>
      <w:r>
        <w:rPr>
          <w:rFonts w:ascii="Arial" w:hAnsi="Arial" w:cs="Arial"/>
          <w:b/>
          <w:i/>
          <w:color w:val="0000FF"/>
          <w:highlight w:val="yellow"/>
        </w:rPr>
        <w:t xml:space="preserve"> lease income in the operating revenues section and interest income from leases in the nonoperating revenues section along with the associated</w:t>
      </w:r>
      <w:r w:rsidRPr="008C40B0">
        <w:rPr>
          <w:rFonts w:ascii="Arial" w:hAnsi="Arial" w:cs="Arial"/>
          <w:b/>
          <w:i/>
          <w:color w:val="0000FF"/>
          <w:highlight w:val="yellow"/>
        </w:rPr>
        <w:t xml:space="preserve"> allowance for uncollectibles, if applicable</w:t>
      </w:r>
      <w:r>
        <w:rPr>
          <w:rFonts w:ascii="Arial" w:hAnsi="Arial" w:cs="Arial"/>
          <w:b/>
          <w:i/>
          <w:color w:val="0000FF"/>
          <w:highlight w:val="yellow"/>
        </w:rPr>
        <w:t xml:space="preserve"> at your </w:t>
      </w:r>
      <w:r w:rsidR="00691ADE">
        <w:rPr>
          <w:rFonts w:ascii="Arial" w:hAnsi="Arial" w:cs="Arial"/>
          <w:b/>
          <w:i/>
          <w:color w:val="0000FF"/>
          <w:highlight w:val="yellow"/>
        </w:rPr>
        <w:t>college</w:t>
      </w:r>
      <w:r>
        <w:rPr>
          <w:rFonts w:ascii="Arial" w:hAnsi="Arial" w:cs="Arial"/>
          <w:b/>
          <w:i/>
          <w:color w:val="0000FF"/>
          <w:highlight w:val="yellow"/>
        </w:rPr>
        <w:t>.</w:t>
      </w:r>
      <w:r w:rsidRPr="008C40B0">
        <w:rPr>
          <w:rFonts w:ascii="Arial" w:hAnsi="Arial" w:cs="Arial"/>
          <w:b/>
          <w:i/>
          <w:color w:val="0000FF"/>
          <w:highlight w:val="yellow"/>
        </w:rPr>
        <w:t>]</w:t>
      </w:r>
      <w:bookmarkEnd w:id="302"/>
    </w:p>
    <w:p w14:paraId="6F3D1D19"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bookmarkStart w:id="303" w:name="_Hlk44414116"/>
      <w:r w:rsidRPr="00A66832">
        <w:rPr>
          <w:rFonts w:ascii="Arial Bold" w:eastAsia="Times New Roman" w:hAnsi="Arial Bold" w:cs="Times New Roman"/>
          <w:b/>
          <w:smallCaps/>
          <w:kern w:val="28"/>
          <w:szCs w:val="20"/>
        </w:rPr>
        <w:t>Note 13</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Operating Expenses by Function</w:t>
      </w:r>
    </w:p>
    <w:p w14:paraId="169242D1" w14:textId="77777777" w:rsidR="005558B6" w:rsidRPr="005A31CF" w:rsidRDefault="005558B6" w:rsidP="00A66832">
      <w:pPr>
        <w:spacing w:after="240" w:line="240" w:lineRule="auto"/>
        <w:jc w:val="both"/>
        <w:rPr>
          <w:rFonts w:ascii="Arial" w:eastAsia="Times New Roman" w:hAnsi="Arial" w:cs="Arial"/>
          <w:b/>
          <w:i/>
          <w:color w:val="0000FF"/>
        </w:rPr>
      </w:pPr>
      <w:r w:rsidRPr="005A31CF">
        <w:rPr>
          <w:rFonts w:ascii="Arial" w:eastAsia="Times New Roman" w:hAnsi="Arial" w:cs="Arial"/>
        </w:rPr>
        <w:t xml:space="preserve">The College’s operating expenses by functional classification are presented as follows: </w:t>
      </w:r>
      <w:r w:rsidRPr="005A31CF">
        <w:rPr>
          <w:rFonts w:ascii="Arial" w:eastAsia="Times New Roman" w:hAnsi="Arial" w:cs="Arial"/>
          <w:b/>
          <w:i/>
          <w:color w:val="0000FF"/>
        </w:rPr>
        <w:t>[If capital asset impairment reported on face of the statements, add column here and reflect in appropriate function.]</w:t>
      </w:r>
    </w:p>
    <w:bookmarkStart w:id="304" w:name="_MON_1188275911"/>
    <w:bookmarkStart w:id="305" w:name="_MON_1188288315"/>
    <w:bookmarkStart w:id="306" w:name="_MON_1220946097"/>
    <w:bookmarkStart w:id="307" w:name="_MON_1220946121"/>
    <w:bookmarkStart w:id="308" w:name="_MON_1331966714"/>
    <w:bookmarkStart w:id="309" w:name="_MON_1402210443"/>
    <w:bookmarkStart w:id="310" w:name="_MON_1402210483"/>
    <w:bookmarkStart w:id="311" w:name="_MON_1402726765"/>
    <w:bookmarkStart w:id="312" w:name="_MON_1402749743"/>
    <w:bookmarkStart w:id="313" w:name="_MON_1118969161"/>
    <w:bookmarkStart w:id="314" w:name="_MON_1118969207"/>
    <w:bookmarkStart w:id="315" w:name="_MON_1119091932"/>
    <w:bookmarkEnd w:id="304"/>
    <w:bookmarkEnd w:id="305"/>
    <w:bookmarkEnd w:id="306"/>
    <w:bookmarkEnd w:id="307"/>
    <w:bookmarkEnd w:id="308"/>
    <w:bookmarkEnd w:id="309"/>
    <w:bookmarkEnd w:id="310"/>
    <w:bookmarkEnd w:id="311"/>
    <w:bookmarkEnd w:id="312"/>
    <w:bookmarkEnd w:id="313"/>
    <w:bookmarkEnd w:id="314"/>
    <w:bookmarkEnd w:id="315"/>
    <w:bookmarkStart w:id="316" w:name="_MON_1188275783"/>
    <w:bookmarkEnd w:id="316"/>
    <w:p w14:paraId="041A13C9" w14:textId="77777777" w:rsidR="005558B6" w:rsidRDefault="005558B6" w:rsidP="00A66832">
      <w:pPr>
        <w:spacing w:after="240" w:line="240" w:lineRule="auto"/>
        <w:jc w:val="center"/>
        <w:rPr>
          <w:rFonts w:ascii="Times New Roman" w:eastAsia="Times New Roman" w:hAnsi="Times New Roman" w:cs="Times New Roman"/>
          <w:sz w:val="24"/>
          <w:szCs w:val="24"/>
        </w:rPr>
      </w:pPr>
      <w:r w:rsidRPr="005A31CF">
        <w:rPr>
          <w:rFonts w:ascii="Times New Roman" w:eastAsia="Times New Roman" w:hAnsi="Times New Roman" w:cs="Times New Roman"/>
          <w:sz w:val="24"/>
          <w:szCs w:val="24"/>
        </w:rPr>
        <w:object w:dxaOrig="11820" w:dyaOrig="4355" w14:anchorId="2628ECE7">
          <v:shape id="_x0000_i1044" type="#_x0000_t75" style="width:389.25pt;height:150.75pt" o:ole="" o:preferrelative="f">
            <v:imagedata r:id="rId52" o:title=""/>
          </v:shape>
          <o:OLEObject Type="Embed" ProgID="Excel.Sheet.12" ShapeID="_x0000_i1044" DrawAspect="Content" ObjectID="_1721553189" r:id="rId53"/>
        </w:object>
      </w:r>
    </w:p>
    <w:p w14:paraId="7775C0E9" w14:textId="77777777" w:rsidR="005558B6" w:rsidRPr="00C13B97" w:rsidRDefault="005558B6" w:rsidP="00A66832">
      <w:pPr>
        <w:spacing w:after="240" w:line="240" w:lineRule="auto"/>
        <w:jc w:val="both"/>
        <w:rPr>
          <w:rFonts w:ascii="Arial" w:hAnsi="Arial" w:cs="Arial"/>
        </w:rPr>
      </w:pPr>
      <w:r w:rsidRPr="00751C1A">
        <w:rPr>
          <w:rFonts w:ascii="Arial" w:hAnsi="Arial" w:cs="Arial"/>
        </w:rPr>
        <w:t>Included in the scholarship and fellowship function are student financial aid operating expenses for emergency financial aid payments to eligible students. These payments are for expenses related to the disruption of campus operations due to the coronavirus of $____________ provid</w:t>
      </w:r>
      <w:r w:rsidRPr="00EA3FBC">
        <w:rPr>
          <w:rFonts w:ascii="Arial" w:hAnsi="Arial" w:cs="Arial"/>
        </w:rPr>
        <w:t>ed by the Higher Education Emergency Relief Fund (HEERF).</w:t>
      </w:r>
      <w:r w:rsidRPr="00751C1A">
        <w:rPr>
          <w:rFonts w:ascii="Arial" w:hAnsi="Arial" w:cs="Arial"/>
        </w:rPr>
        <w:t xml:space="preserve"> Because of the administrative involvement by the College in providing the student awards, the related program activity is reported as nonoperating Federal Aid – COVID-19 revenue and student financial aid operating expenses. Since the purpose of the student aid is not for educational or scholarship purposes, they do not affect the scholarship discounting adjustments reported in Note </w:t>
      </w:r>
      <w:r w:rsidRPr="00751C1A">
        <w:rPr>
          <w:rFonts w:ascii="Arial" w:eastAsia="Times New Roman" w:hAnsi="Arial" w:cs="Arial"/>
          <w:b/>
          <w:color w:val="0000FF"/>
        </w:rPr>
        <w:t>XX</w:t>
      </w:r>
      <w:r w:rsidRPr="00751C1A">
        <w:rPr>
          <w:rFonts w:ascii="Arial" w:hAnsi="Arial" w:cs="Arial"/>
        </w:rPr>
        <w:t>.</w:t>
      </w:r>
    </w:p>
    <w:bookmarkEnd w:id="303"/>
    <w:p w14:paraId="7B76A201"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14</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 xml:space="preserve">Pension Plans </w:t>
      </w:r>
    </w:p>
    <w:p w14:paraId="1131E7D8" w14:textId="77777777" w:rsidR="005558B6" w:rsidRPr="005A31CF" w:rsidRDefault="005558B6" w:rsidP="00A66832">
      <w:pPr>
        <w:spacing w:after="240" w:line="240" w:lineRule="auto"/>
        <w:rPr>
          <w:rFonts w:ascii="Arial" w:eastAsia="Calibri" w:hAnsi="Arial" w:cs="Arial"/>
          <w:b/>
        </w:rPr>
      </w:pPr>
      <w:r w:rsidRPr="005A31CF">
        <w:rPr>
          <w:rFonts w:ascii="Arial" w:eastAsia="Calibri" w:hAnsi="Arial" w:cs="Arial"/>
          <w:b/>
        </w:rPr>
        <w:t>Defined Benefit Plan</w:t>
      </w:r>
    </w:p>
    <w:p w14:paraId="4297F71A" w14:textId="77777777" w:rsidR="005558B6" w:rsidRPr="00641103" w:rsidRDefault="005558B6" w:rsidP="00A66832">
      <w:pPr>
        <w:spacing w:after="240" w:line="240" w:lineRule="auto"/>
        <w:jc w:val="both"/>
        <w:rPr>
          <w:rFonts w:ascii="Arial" w:eastAsia="Calibri" w:hAnsi="Arial" w:cs="Arial"/>
        </w:rPr>
      </w:pPr>
      <w:r w:rsidRPr="005A31CF">
        <w:rPr>
          <w:rFonts w:ascii="Arial" w:eastAsia="Calibri" w:hAnsi="Arial" w:cs="Arial"/>
          <w:i/>
        </w:rPr>
        <w:t>Plan Administration:</w:t>
      </w:r>
      <w:r w:rsidRPr="005A31CF">
        <w:rPr>
          <w:rFonts w:ascii="Arial" w:eastAsia="Calibri" w:hAnsi="Arial" w:cs="Arial"/>
        </w:rPr>
        <w:t xml:space="preserve"> The State of North Carolina administers the Teachers’ and State Employees’ Retirement System (TSERS) plan. This plan is a cost-sharing, multiple-</w:t>
      </w:r>
      <w:r w:rsidRPr="00641103">
        <w:rPr>
          <w:rFonts w:ascii="Arial" w:eastAsia="Calibri" w:hAnsi="Arial" w:cs="Arial"/>
        </w:rPr>
        <w:t xml:space="preserve">employer, defined benefit pension plan established by the State to provide pension benefits for general employees and law enforcement officers (LEOs) of the State, general employees and LEOs of its component units, and employees of Local Education Agencies (LEAs) and charter schools not in the reporting entity. Membership is comprised of employees of the State (state agencies and institutions), universities, community colleges, and certain proprietary component units along with the LEAs and charter schools that elect to join the Retirement System. Benefit provisions are established by General Statute 135-5 and may be amended only by the North Carolina General Assembly. </w:t>
      </w:r>
    </w:p>
    <w:p w14:paraId="5AEF6BAC" w14:textId="77777777" w:rsidR="005558B6" w:rsidRPr="00641103" w:rsidRDefault="005558B6" w:rsidP="00A66832">
      <w:pPr>
        <w:tabs>
          <w:tab w:val="left" w:pos="1440"/>
        </w:tabs>
        <w:spacing w:after="240" w:line="240" w:lineRule="auto"/>
        <w:jc w:val="both"/>
        <w:rPr>
          <w:rFonts w:ascii="Arial" w:eastAsia="Calibri" w:hAnsi="Arial" w:cs="Arial"/>
        </w:rPr>
      </w:pPr>
      <w:r w:rsidRPr="00641103">
        <w:rPr>
          <w:rFonts w:ascii="Arial" w:eastAsia="Calibri" w:hAnsi="Arial" w:cs="Arial"/>
          <w:i/>
        </w:rPr>
        <w:t>Benefits Provided</w:t>
      </w:r>
      <w:r w:rsidRPr="00641103">
        <w:rPr>
          <w:rFonts w:ascii="Arial" w:eastAsia="Calibri" w:hAnsi="Arial" w:cs="Arial"/>
        </w:rPr>
        <w:t xml:space="preserve">: TSERS provides retirement and survivor benefits. Retirement benefits are determined as 1.82% of the member’s average final compensation times the member’s years of creditable service. A member’s average final compensation is calculated as the average of a member’s four highest consecutive years of compensation. General employee plan members are eligible to retire with full retirement benefits at age 65 with five years of </w:t>
      </w:r>
      <w:r>
        <w:rPr>
          <w:rFonts w:ascii="Arial" w:eastAsia="Calibri" w:hAnsi="Arial" w:cs="Arial"/>
        </w:rPr>
        <w:t>membership</w:t>
      </w:r>
      <w:r w:rsidRPr="00641103">
        <w:rPr>
          <w:rFonts w:ascii="Arial" w:eastAsia="Calibri" w:hAnsi="Arial" w:cs="Arial"/>
        </w:rPr>
        <w:t xml:space="preserve"> service, at age 60 with 25 years of creditable service, or at any age with 30 years of creditable service. General employee plan members are eligible to retire with partial retirement benefits at age 50 with 20 years of creditable service or at age 60 with five years of </w:t>
      </w:r>
      <w:r>
        <w:rPr>
          <w:rFonts w:ascii="Arial" w:eastAsia="Calibri" w:hAnsi="Arial" w:cs="Arial"/>
        </w:rPr>
        <w:t>membership</w:t>
      </w:r>
      <w:r w:rsidRPr="00641103">
        <w:rPr>
          <w:rFonts w:ascii="Arial" w:eastAsia="Calibri" w:hAnsi="Arial" w:cs="Arial"/>
        </w:rPr>
        <w:t xml:space="preserve"> service. Survivor benefits are available to eligible beneficiaries of general members who die while in active service or within 180 days of their last day of service and who also have either completed 20 years of creditable service regardless of age, or have completed five years of service and have reached age 60. Eligible beneficiaries may elect to receive a monthly Survivor’s Alternate </w:t>
      </w:r>
      <w:r w:rsidRPr="00641103">
        <w:rPr>
          <w:rFonts w:ascii="Arial" w:eastAsia="Calibri" w:hAnsi="Arial" w:cs="Arial"/>
        </w:rPr>
        <w:lastRenderedPageBreak/>
        <w:t xml:space="preserve">Benefit for life or a return of the member’s contributions. The plan does not provide for automatic post-retirement benefit increases. </w:t>
      </w:r>
    </w:p>
    <w:p w14:paraId="2E028D69" w14:textId="7F911AC9" w:rsidR="005558B6" w:rsidRPr="00641103" w:rsidRDefault="005558B6" w:rsidP="00A66832">
      <w:pPr>
        <w:spacing w:after="240" w:line="240" w:lineRule="auto"/>
        <w:jc w:val="both"/>
        <w:rPr>
          <w:rFonts w:ascii="Arial" w:eastAsia="Calibri" w:hAnsi="Arial" w:cs="Arial"/>
        </w:rPr>
      </w:pPr>
      <w:r w:rsidRPr="00641103">
        <w:rPr>
          <w:rFonts w:ascii="Arial" w:eastAsia="Calibri" w:hAnsi="Arial" w:cs="Arial"/>
          <w:i/>
        </w:rPr>
        <w:t>Contributions:</w:t>
      </w:r>
      <w:r w:rsidRPr="00641103">
        <w:rPr>
          <w:rFonts w:ascii="Arial" w:eastAsia="Calibri" w:hAnsi="Arial" w:cs="Arial"/>
        </w:rPr>
        <w:t xml:space="preserve"> Contribution provisions are established by General Statute135-8 and may be amended only by the North Carolina General Assembly. </w:t>
      </w:r>
      <w:r w:rsidR="00540C93" w:rsidRPr="00540C93">
        <w:rPr>
          <w:rFonts w:ascii="Arial" w:eastAsia="Calibri" w:hAnsi="Arial" w:cs="Arial"/>
          <w:highlight w:val="yellow"/>
        </w:rPr>
        <w:t>Plan members</w:t>
      </w:r>
      <w:r w:rsidRPr="00641103">
        <w:rPr>
          <w:rFonts w:ascii="Arial" w:eastAsia="Calibri" w:hAnsi="Arial" w:cs="Arial"/>
        </w:rPr>
        <w:t xml:space="preserve"> are required to contribute 6% of their annual pay. The contribution rate for employers is set each year by the North Carolina General Assembly in the Appropriations Act </w:t>
      </w:r>
      <w:r w:rsidR="000C0676" w:rsidRPr="00B56AE9">
        <w:rPr>
          <w:rFonts w:ascii="Arial" w:eastAsia="Calibri" w:hAnsi="Arial" w:cs="Arial"/>
          <w:highlight w:val="yellow"/>
        </w:rPr>
        <w:t>and may not be less than the contribution rate required of plan members. The TSERS Board of Trustees establishes a funding policy from with an accrued liability rate and a normal contribution rate are developed by the consulting actuary. The sum of those two rates developed under the funding policy is the actuarially determined contribution rate (ADC). The TSERS Board of Trustees may further adopt a contribution rate policy that is higher than the ADC known as the required employer contribution to be recommended to the North Carolina General Assembly.</w:t>
      </w:r>
      <w:r w:rsidR="000C0676">
        <w:rPr>
          <w:rFonts w:ascii="Arial" w:eastAsia="Calibri" w:hAnsi="Arial" w:cs="Arial"/>
        </w:rPr>
        <w:t xml:space="preserve"> </w:t>
      </w:r>
      <w:r w:rsidRPr="00641103">
        <w:rPr>
          <w:rFonts w:ascii="Arial" w:eastAsia="Calibri" w:hAnsi="Arial" w:cs="Arial"/>
        </w:rPr>
        <w:t xml:space="preserve">The College’s contractually-required contribution rate for the year ended June 30, </w:t>
      </w:r>
      <w:r>
        <w:rPr>
          <w:rFonts w:ascii="Arial" w:eastAsia="Calibri" w:hAnsi="Arial" w:cs="Arial"/>
        </w:rPr>
        <w:t>2022</w:t>
      </w:r>
      <w:r w:rsidRPr="00641103">
        <w:rPr>
          <w:rFonts w:ascii="Arial" w:eastAsia="Calibri" w:hAnsi="Arial" w:cs="Arial"/>
        </w:rPr>
        <w:t xml:space="preserve"> was </w:t>
      </w:r>
      <w:r w:rsidRPr="005D6187">
        <w:rPr>
          <w:rFonts w:ascii="Arial" w:eastAsia="Calibri" w:hAnsi="Arial" w:cs="Arial"/>
          <w:highlight w:val="green"/>
        </w:rPr>
        <w:t>16.3</w:t>
      </w:r>
      <w:r w:rsidR="0026284D" w:rsidRPr="005D6187">
        <w:rPr>
          <w:rFonts w:ascii="Arial" w:eastAsia="Calibri" w:hAnsi="Arial" w:cs="Arial"/>
          <w:highlight w:val="green"/>
        </w:rPr>
        <w:t>8</w:t>
      </w:r>
      <w:r w:rsidRPr="005D6187">
        <w:rPr>
          <w:rFonts w:ascii="Arial" w:eastAsia="Calibri" w:hAnsi="Arial" w:cs="Arial"/>
          <w:highlight w:val="green"/>
        </w:rPr>
        <w:t>%</w:t>
      </w:r>
      <w:r w:rsidRPr="00641103">
        <w:rPr>
          <w:rFonts w:ascii="Arial" w:eastAsia="Calibri" w:hAnsi="Arial" w:cs="Arial"/>
        </w:rPr>
        <w:t xml:space="preserve"> of covered payroll. </w:t>
      </w:r>
      <w:r w:rsidR="00540C93" w:rsidRPr="00540C93">
        <w:rPr>
          <w:rFonts w:ascii="Arial" w:eastAsia="Calibri" w:hAnsi="Arial" w:cs="Arial"/>
          <w:highlight w:val="yellow"/>
        </w:rPr>
        <w:t>Plan members’</w:t>
      </w:r>
      <w:r w:rsidRPr="00641103">
        <w:rPr>
          <w:rFonts w:ascii="Arial" w:eastAsia="Calibri" w:hAnsi="Arial" w:cs="Arial"/>
        </w:rPr>
        <w:t xml:space="preserve"> contributions to the pension plan were $_____, and the College’s contributions were $_____ for the year ended June 30, </w:t>
      </w:r>
      <w:r>
        <w:rPr>
          <w:rFonts w:ascii="Arial" w:eastAsia="Calibri" w:hAnsi="Arial" w:cs="Arial"/>
        </w:rPr>
        <w:t>2022</w:t>
      </w:r>
      <w:r w:rsidRPr="00641103">
        <w:rPr>
          <w:rFonts w:ascii="Arial" w:eastAsia="Calibri" w:hAnsi="Arial" w:cs="Arial"/>
        </w:rPr>
        <w:t>.</w:t>
      </w:r>
    </w:p>
    <w:p w14:paraId="32F7CC83" w14:textId="10D72005" w:rsidR="005558B6" w:rsidRPr="00641103" w:rsidRDefault="005558B6" w:rsidP="00A66832">
      <w:pPr>
        <w:spacing w:after="240" w:line="240" w:lineRule="auto"/>
        <w:jc w:val="both"/>
        <w:rPr>
          <w:rFonts w:ascii="Arial" w:eastAsia="Calibri" w:hAnsi="Arial" w:cs="Arial"/>
        </w:rPr>
      </w:pPr>
      <w:r w:rsidRPr="00641103">
        <w:rPr>
          <w:rFonts w:ascii="Arial" w:eastAsia="Calibri" w:hAnsi="Arial" w:cs="Arial"/>
        </w:rPr>
        <w:t xml:space="preserve">The TSERS plan’s financial information, including all information about the plan’s assets, deferred outflows of resources, liabilities, deferred inflows of resources, and fiduciary net position, is included </w:t>
      </w:r>
      <w:r w:rsidRPr="00A01FD0">
        <w:rPr>
          <w:rFonts w:ascii="Arial" w:eastAsia="Calibri" w:hAnsi="Arial" w:cs="Arial"/>
        </w:rPr>
        <w:t>in the State of North Carolina’s fiscal year 202</w:t>
      </w:r>
      <w:r>
        <w:rPr>
          <w:rFonts w:ascii="Arial" w:eastAsia="Calibri" w:hAnsi="Arial" w:cs="Arial"/>
        </w:rPr>
        <w:t>1</w:t>
      </w:r>
      <w:r w:rsidRPr="00A01FD0">
        <w:rPr>
          <w:rFonts w:ascii="Arial" w:eastAsia="Calibri" w:hAnsi="Arial" w:cs="Arial"/>
        </w:rPr>
        <w:t xml:space="preserve"> </w:t>
      </w:r>
      <w:r w:rsidRPr="002D7279">
        <w:rPr>
          <w:rFonts w:ascii="Arial" w:eastAsia="Calibri" w:hAnsi="Arial" w:cs="Arial"/>
          <w:i/>
          <w:highlight w:val="yellow"/>
        </w:rPr>
        <w:t>Annual Comprehensive</w:t>
      </w:r>
      <w:r w:rsidRPr="00A43AC5">
        <w:rPr>
          <w:rFonts w:ascii="Arial" w:eastAsia="Calibri" w:hAnsi="Arial" w:cs="Arial"/>
          <w:i/>
        </w:rPr>
        <w:t xml:space="preserve"> </w:t>
      </w:r>
      <w:r w:rsidRPr="001A2E5E">
        <w:rPr>
          <w:rFonts w:ascii="Arial" w:eastAsia="Calibri" w:hAnsi="Arial" w:cs="Arial"/>
          <w:i/>
        </w:rPr>
        <w:t>Financial</w:t>
      </w:r>
      <w:r w:rsidRPr="00A01FD0">
        <w:rPr>
          <w:rFonts w:ascii="Arial" w:eastAsia="Calibri" w:hAnsi="Arial" w:cs="Arial"/>
          <w:i/>
        </w:rPr>
        <w:t xml:space="preserve"> Report</w:t>
      </w:r>
      <w:r w:rsidRPr="00A01FD0">
        <w:rPr>
          <w:rFonts w:ascii="Arial" w:eastAsia="Calibri" w:hAnsi="Arial" w:cs="Arial"/>
        </w:rPr>
        <w:t>. An electronic version of this report is available on the North Carolina Office</w:t>
      </w:r>
      <w:r w:rsidRPr="00641103">
        <w:rPr>
          <w:rFonts w:ascii="Arial" w:eastAsia="Calibri" w:hAnsi="Arial" w:cs="Arial"/>
        </w:rPr>
        <w:t xml:space="preserve"> of the State Controller’s website at </w:t>
      </w:r>
      <w:hyperlink r:id="rId54" w:history="1">
        <w:r w:rsidRPr="0080791C">
          <w:rPr>
            <w:rStyle w:val="Hyperlink"/>
            <w:rFonts w:ascii="Arial" w:eastAsia="Calibri" w:hAnsi="Arial" w:cs="Arial"/>
          </w:rPr>
          <w:t>https://www.osc.nc.gov/</w:t>
        </w:r>
      </w:hyperlink>
      <w:r w:rsidRPr="00641103">
        <w:rPr>
          <w:rFonts w:ascii="Arial" w:eastAsia="Calibri" w:hAnsi="Arial" w:cs="Arial"/>
        </w:rPr>
        <w:t xml:space="preserve"> or by calling the State Controller’s Financial Reporting Section at (919) 707-0500. </w:t>
      </w:r>
    </w:p>
    <w:p w14:paraId="676D8F7C" w14:textId="616248AC" w:rsidR="005558B6" w:rsidRPr="00641103" w:rsidRDefault="005558B6" w:rsidP="00A66832">
      <w:pPr>
        <w:spacing w:after="240" w:line="240" w:lineRule="auto"/>
        <w:jc w:val="both"/>
        <w:rPr>
          <w:rFonts w:ascii="Arial" w:eastAsia="Calibri" w:hAnsi="Arial" w:cs="Arial"/>
        </w:rPr>
      </w:pPr>
      <w:r w:rsidRPr="00641103">
        <w:rPr>
          <w:rFonts w:ascii="Arial" w:eastAsia="Calibri" w:hAnsi="Arial" w:cs="Arial"/>
          <w:i/>
        </w:rPr>
        <w:t>TSERS Basis of Accounting:</w:t>
      </w:r>
      <w:r w:rsidRPr="00641103">
        <w:rPr>
          <w:rFonts w:ascii="Arial" w:eastAsia="Calibri" w:hAnsi="Arial" w:cs="Arial"/>
        </w:rPr>
        <w:t xml:space="preserve"> The financial statements of the TSERS plan </w:t>
      </w:r>
      <w:r w:rsidR="000C0676" w:rsidRPr="000C0676">
        <w:rPr>
          <w:rFonts w:ascii="Arial" w:eastAsia="Calibri" w:hAnsi="Arial" w:cs="Arial"/>
          <w:highlight w:val="yellow"/>
        </w:rPr>
        <w:t>are</w:t>
      </w:r>
      <w:r w:rsidRPr="00641103">
        <w:rPr>
          <w:rFonts w:ascii="Arial" w:eastAsia="Calibri" w:hAnsi="Arial" w:cs="Arial"/>
        </w:rPr>
        <w:t xml:space="preserve"> prepared using the accrual basis of accounting. Plan member contributions are recognized in the period in which the contributions are due. Employer contributions are recognized when due and the employer has a legal requirement to provide the contributions. Benefits and refunds are recognized when due and payable in accordance with the terms of </w:t>
      </w:r>
      <w:r w:rsidRPr="00465608">
        <w:rPr>
          <w:rFonts w:ascii="Arial" w:eastAsia="Calibri" w:hAnsi="Arial" w:cs="Arial"/>
        </w:rPr>
        <w:t xml:space="preserve">each plan. </w:t>
      </w:r>
      <w:bookmarkStart w:id="317" w:name="_Hlk106170038"/>
      <w:r w:rsidRPr="00F34E2E">
        <w:rPr>
          <w:rFonts w:ascii="Arial" w:hAnsi="Arial" w:cs="Arial"/>
        </w:rPr>
        <w:t>For purposes of measuring the net pension liability, deferred outflows of resources and deferred inflows of resources related to pensions, and pension expense, information about the fiduciary net position of the TSERS plan, and additions to/deductions from the TSERS plan’s fiduciary net position have been determined on the same basis as they are reported by TSERS.</w:t>
      </w:r>
      <w:r w:rsidRPr="00641103">
        <w:rPr>
          <w:rFonts w:ascii="Arial" w:eastAsia="Calibri" w:hAnsi="Arial" w:cs="Arial"/>
        </w:rPr>
        <w:t xml:space="preserve"> </w:t>
      </w:r>
      <w:bookmarkEnd w:id="317"/>
    </w:p>
    <w:p w14:paraId="71267657" w14:textId="5C30DF44" w:rsidR="005558B6" w:rsidRPr="00A01FD0" w:rsidRDefault="005558B6" w:rsidP="00A66832">
      <w:pPr>
        <w:spacing w:after="240" w:line="240" w:lineRule="auto"/>
        <w:jc w:val="both"/>
        <w:rPr>
          <w:rFonts w:ascii="Arial" w:eastAsia="Calibri" w:hAnsi="Arial" w:cs="Arial"/>
          <w:i/>
        </w:rPr>
      </w:pPr>
      <w:r w:rsidRPr="00641103">
        <w:rPr>
          <w:rFonts w:ascii="Arial" w:eastAsia="Calibri" w:hAnsi="Arial" w:cs="Arial"/>
          <w:i/>
        </w:rPr>
        <w:t>Methods Used to Value TSERS Investment:</w:t>
      </w:r>
      <w:r w:rsidRPr="00641103">
        <w:rPr>
          <w:rFonts w:ascii="Arial" w:eastAsia="Calibri" w:hAnsi="Arial" w:cs="Arial"/>
        </w:rPr>
        <w:t xml:space="preserve"> Pursuant to </w:t>
      </w:r>
      <w:r w:rsidRPr="00A66832">
        <w:rPr>
          <w:rFonts w:ascii="Arial" w:eastAsia="Calibri" w:hAnsi="Arial" w:cs="Arial"/>
        </w:rPr>
        <w:t>North Carolina General Statutes</w:t>
      </w:r>
      <w:r w:rsidRPr="00641103">
        <w:rPr>
          <w:rFonts w:ascii="Arial" w:eastAsia="Calibri" w:hAnsi="Arial" w:cs="Arial"/>
        </w:rPr>
        <w:t xml:space="preserve">, the State Treasurer is the custodian and administrator of the retirement systems. The State Treasurer maintains various investment portfolios in its External Investment Pool. TSERS and other pension plans of the State of North </w:t>
      </w:r>
      <w:r w:rsidRPr="00EA3FBC">
        <w:rPr>
          <w:rFonts w:ascii="Arial" w:eastAsia="Calibri" w:hAnsi="Arial" w:cs="Arial"/>
        </w:rPr>
        <w:t>Carolina participate</w:t>
      </w:r>
      <w:r w:rsidRPr="00641103">
        <w:rPr>
          <w:rFonts w:ascii="Arial" w:eastAsia="Calibri" w:hAnsi="Arial" w:cs="Arial"/>
        </w:rPr>
        <w:t xml:space="preserve"> in the Long-</w:t>
      </w:r>
      <w:r w:rsidR="001822A4" w:rsidRPr="001822A4">
        <w:rPr>
          <w:rFonts w:ascii="Arial" w:eastAsia="Calibri" w:hAnsi="Arial" w:cs="Arial"/>
        </w:rPr>
        <w:t>T</w:t>
      </w:r>
      <w:r w:rsidRPr="00641103">
        <w:rPr>
          <w:rFonts w:ascii="Arial" w:eastAsia="Calibri" w:hAnsi="Arial" w:cs="Arial"/>
        </w:rPr>
        <w:t xml:space="preserve">erm Investment, </w:t>
      </w:r>
      <w:r w:rsidR="000C0676" w:rsidRPr="000C0676">
        <w:rPr>
          <w:rFonts w:ascii="Arial" w:eastAsia="Calibri" w:hAnsi="Arial" w:cs="Arial"/>
          <w:highlight w:val="yellow"/>
        </w:rPr>
        <w:t>the</w:t>
      </w:r>
      <w:r w:rsidR="000C0676">
        <w:rPr>
          <w:rFonts w:ascii="Arial" w:eastAsia="Calibri" w:hAnsi="Arial" w:cs="Arial"/>
        </w:rPr>
        <w:t xml:space="preserve"> </w:t>
      </w:r>
      <w:r w:rsidRPr="00641103">
        <w:rPr>
          <w:rFonts w:ascii="Arial" w:eastAsia="Calibri" w:hAnsi="Arial" w:cs="Arial"/>
        </w:rPr>
        <w:t xml:space="preserve">Fixed Income Investment, Equity Investment, Real Estate Investment, Alternative Investment, Opportunistic Fixed Income Investment, and Inflation Sensitive Investment </w:t>
      </w:r>
      <w:r w:rsidR="00540C93" w:rsidRPr="00540C93">
        <w:rPr>
          <w:rFonts w:ascii="Arial" w:eastAsia="Calibri" w:hAnsi="Arial" w:cs="Arial"/>
          <w:highlight w:val="yellow"/>
        </w:rPr>
        <w:t>p</w:t>
      </w:r>
      <w:r w:rsidRPr="00641103">
        <w:rPr>
          <w:rFonts w:ascii="Arial" w:eastAsia="Calibri" w:hAnsi="Arial" w:cs="Arial"/>
        </w:rPr>
        <w:t>ortfolios. The Fixed Income Asset Class includes the Long-</w:t>
      </w:r>
      <w:r w:rsidR="001822A4" w:rsidRPr="001822A4">
        <w:rPr>
          <w:rFonts w:ascii="Arial" w:eastAsia="Calibri" w:hAnsi="Arial" w:cs="Arial"/>
        </w:rPr>
        <w:t>T</w:t>
      </w:r>
      <w:r w:rsidRPr="00641103">
        <w:rPr>
          <w:rFonts w:ascii="Arial" w:eastAsia="Calibri" w:hAnsi="Arial" w:cs="Arial"/>
        </w:rPr>
        <w:t xml:space="preserve">erm Investment and Fixed Income Investment </w:t>
      </w:r>
      <w:r w:rsidR="00540C93" w:rsidRPr="00540C93">
        <w:rPr>
          <w:rFonts w:ascii="Arial" w:eastAsia="Calibri" w:hAnsi="Arial" w:cs="Arial"/>
          <w:highlight w:val="yellow"/>
        </w:rPr>
        <w:t>p</w:t>
      </w:r>
      <w:r w:rsidRPr="00641103">
        <w:rPr>
          <w:rFonts w:ascii="Arial" w:eastAsia="Calibri" w:hAnsi="Arial" w:cs="Arial"/>
        </w:rPr>
        <w:t xml:space="preserve">ortfolios. The Global Equity Asset Class includes the Equity Investment </w:t>
      </w:r>
      <w:r w:rsidR="00540C93" w:rsidRPr="00540C93">
        <w:rPr>
          <w:rFonts w:ascii="Arial" w:eastAsia="Calibri" w:hAnsi="Arial" w:cs="Arial"/>
          <w:highlight w:val="yellow"/>
        </w:rPr>
        <w:t>p</w:t>
      </w:r>
      <w:r w:rsidRPr="00641103">
        <w:rPr>
          <w:rFonts w:ascii="Arial" w:eastAsia="Calibri" w:hAnsi="Arial" w:cs="Arial"/>
        </w:rPr>
        <w:t xml:space="preserve">ortfolio. The investment balance of each pension trust fund represents its share of the fair value of the net position of the various portfolios within the External Investment Pool. Detailed descriptions of the methods and significant </w:t>
      </w:r>
      <w:r w:rsidRPr="00A01FD0">
        <w:rPr>
          <w:rFonts w:ascii="Arial" w:eastAsia="Calibri" w:hAnsi="Arial" w:cs="Arial"/>
        </w:rPr>
        <w:t>assumptions regarding investments of the State Treasurer are provided in the 202</w:t>
      </w:r>
      <w:r w:rsidR="00EA2F2C">
        <w:rPr>
          <w:rFonts w:ascii="Arial" w:eastAsia="Calibri" w:hAnsi="Arial" w:cs="Arial"/>
        </w:rPr>
        <w:t>1</w:t>
      </w:r>
      <w:r w:rsidRPr="00A01FD0">
        <w:rPr>
          <w:rFonts w:ascii="Arial" w:eastAsia="Calibri" w:hAnsi="Arial" w:cs="Arial"/>
        </w:rPr>
        <w:t xml:space="preserve"> </w:t>
      </w:r>
      <w:bookmarkStart w:id="318" w:name="_Hlk105065906"/>
      <w:r w:rsidR="00EA2F2C" w:rsidRPr="00EA2F2C">
        <w:rPr>
          <w:rFonts w:ascii="Arial" w:eastAsia="Calibri" w:hAnsi="Arial" w:cs="Arial"/>
          <w:i/>
          <w:highlight w:val="yellow"/>
        </w:rPr>
        <w:t>Annual Comprehensive</w:t>
      </w:r>
      <w:r w:rsidRPr="001A2E5E">
        <w:rPr>
          <w:rFonts w:ascii="Arial" w:eastAsia="Calibri" w:hAnsi="Arial" w:cs="Arial"/>
          <w:i/>
        </w:rPr>
        <w:t xml:space="preserve"> </w:t>
      </w:r>
      <w:bookmarkEnd w:id="318"/>
      <w:r w:rsidRPr="00A01FD0">
        <w:rPr>
          <w:rFonts w:ascii="Arial" w:eastAsia="Calibri" w:hAnsi="Arial" w:cs="Arial"/>
          <w:i/>
        </w:rPr>
        <w:t>Financial Report</w:t>
      </w:r>
      <w:r w:rsidRPr="00A01FD0">
        <w:rPr>
          <w:rFonts w:ascii="Arial" w:eastAsia="Calibri" w:hAnsi="Arial" w:cs="Arial"/>
        </w:rPr>
        <w:t>.</w:t>
      </w:r>
    </w:p>
    <w:p w14:paraId="6B96CFD4" w14:textId="0887B5F5" w:rsidR="005558B6" w:rsidRPr="00641103" w:rsidRDefault="005558B6" w:rsidP="00A66832">
      <w:pPr>
        <w:spacing w:after="240" w:line="240" w:lineRule="auto"/>
        <w:jc w:val="both"/>
        <w:rPr>
          <w:rFonts w:ascii="Arial" w:eastAsia="Calibri" w:hAnsi="Arial" w:cs="Arial"/>
        </w:rPr>
      </w:pPr>
      <w:r w:rsidRPr="00A01FD0">
        <w:rPr>
          <w:rFonts w:ascii="Arial" w:eastAsia="Calibri" w:hAnsi="Arial" w:cs="Arial"/>
          <w:i/>
        </w:rPr>
        <w:t>Net Pension Liability:</w:t>
      </w:r>
      <w:r w:rsidRPr="00A01FD0">
        <w:rPr>
          <w:rFonts w:ascii="Arial" w:eastAsia="Calibri" w:hAnsi="Arial" w:cs="Arial"/>
        </w:rPr>
        <w:t xml:space="preserve"> At June 30, 202</w:t>
      </w:r>
      <w:r>
        <w:rPr>
          <w:rFonts w:ascii="Arial" w:eastAsia="Calibri" w:hAnsi="Arial" w:cs="Arial"/>
        </w:rPr>
        <w:t>2</w:t>
      </w:r>
      <w:r w:rsidRPr="00A01FD0">
        <w:rPr>
          <w:rFonts w:ascii="Arial" w:eastAsia="Calibri" w:hAnsi="Arial" w:cs="Arial"/>
        </w:rPr>
        <w:t>, the</w:t>
      </w:r>
      <w:r w:rsidRPr="00641103">
        <w:rPr>
          <w:rFonts w:ascii="Arial" w:eastAsia="Calibri" w:hAnsi="Arial" w:cs="Arial"/>
        </w:rPr>
        <w:t xml:space="preserve"> College reported a liability of $_____ for its proportionate share of the collective net pension liability. The net pension liability was measured as of June 30, </w:t>
      </w:r>
      <w:r>
        <w:rPr>
          <w:rFonts w:ascii="Arial" w:eastAsia="Calibri" w:hAnsi="Arial" w:cs="Arial"/>
        </w:rPr>
        <w:t>2021</w:t>
      </w:r>
      <w:r w:rsidRPr="00641103">
        <w:rPr>
          <w:rFonts w:ascii="Arial" w:eastAsia="Calibri" w:hAnsi="Arial" w:cs="Arial"/>
        </w:rPr>
        <w:t xml:space="preserve">. The total pension liability used to calculate the net pension liability was determined by an actuarial valuation as of December 31, </w:t>
      </w:r>
      <w:r>
        <w:rPr>
          <w:rFonts w:ascii="Arial" w:eastAsia="Calibri" w:hAnsi="Arial" w:cs="Arial"/>
        </w:rPr>
        <w:t>2020</w:t>
      </w:r>
      <w:r w:rsidRPr="00641103">
        <w:rPr>
          <w:rFonts w:ascii="Arial" w:eastAsia="Calibri" w:hAnsi="Arial" w:cs="Arial"/>
        </w:rPr>
        <w:t xml:space="preserve">, and update </w:t>
      </w:r>
      <w:r w:rsidRPr="00641103">
        <w:rPr>
          <w:rFonts w:ascii="Arial" w:eastAsia="Calibri" w:hAnsi="Arial" w:cs="Arial"/>
        </w:rPr>
        <w:lastRenderedPageBreak/>
        <w:t xml:space="preserve">procedures were used to roll forward the total pension liability to June 30, </w:t>
      </w:r>
      <w:r>
        <w:rPr>
          <w:rFonts w:ascii="Arial" w:eastAsia="Calibri" w:hAnsi="Arial" w:cs="Arial"/>
        </w:rPr>
        <w:t>2021</w:t>
      </w:r>
      <w:r w:rsidRPr="00641103">
        <w:rPr>
          <w:rFonts w:ascii="Arial" w:eastAsia="Calibri" w:hAnsi="Arial" w:cs="Arial"/>
        </w:rPr>
        <w:t xml:space="preserve">. The College’s proportion of the net pension liability was based on </w:t>
      </w:r>
      <w:r w:rsidR="00540C93" w:rsidRPr="00540C93">
        <w:rPr>
          <w:rFonts w:ascii="Arial" w:eastAsia="Calibri" w:hAnsi="Arial" w:cs="Arial"/>
          <w:highlight w:val="yellow"/>
        </w:rPr>
        <w:t>a projection of</w:t>
      </w:r>
      <w:r w:rsidR="00540C93">
        <w:rPr>
          <w:rFonts w:ascii="Arial" w:eastAsia="Calibri" w:hAnsi="Arial" w:cs="Arial"/>
        </w:rPr>
        <w:t xml:space="preserve"> the</w:t>
      </w:r>
      <w:r w:rsidRPr="00641103">
        <w:rPr>
          <w:rFonts w:ascii="Arial" w:eastAsia="Calibri" w:hAnsi="Arial" w:cs="Arial"/>
        </w:rPr>
        <w:t xml:space="preserve"> present value of future salaries for the College relative to the</w:t>
      </w:r>
      <w:r w:rsidR="00540C93">
        <w:rPr>
          <w:rFonts w:ascii="Arial" w:eastAsia="Calibri" w:hAnsi="Arial" w:cs="Arial"/>
        </w:rPr>
        <w:t xml:space="preserve"> </w:t>
      </w:r>
      <w:r w:rsidR="00540C93" w:rsidRPr="00540C93">
        <w:rPr>
          <w:rFonts w:ascii="Arial" w:eastAsia="Calibri" w:hAnsi="Arial" w:cs="Arial"/>
          <w:highlight w:val="yellow"/>
        </w:rPr>
        <w:t>projected</w:t>
      </w:r>
      <w:r w:rsidRPr="00641103">
        <w:rPr>
          <w:rFonts w:ascii="Arial" w:eastAsia="Calibri" w:hAnsi="Arial" w:cs="Arial"/>
        </w:rPr>
        <w:t xml:space="preserve"> present value of future salaries for all participating employers, actuarially-determined. As of June 30, </w:t>
      </w:r>
      <w:r>
        <w:rPr>
          <w:rFonts w:ascii="Arial" w:eastAsia="Calibri" w:hAnsi="Arial" w:cs="Arial"/>
        </w:rPr>
        <w:t>2021</w:t>
      </w:r>
      <w:r w:rsidRPr="00641103">
        <w:rPr>
          <w:rFonts w:ascii="Arial" w:eastAsia="Calibri" w:hAnsi="Arial" w:cs="Arial"/>
        </w:rPr>
        <w:t xml:space="preserve">, the College’s proportion was ___%, which was </w:t>
      </w:r>
      <w:r w:rsidRPr="00EA3FBC">
        <w:rPr>
          <w:rFonts w:ascii="Arial" w:eastAsia="Calibri" w:hAnsi="Arial" w:cs="Arial"/>
          <w:b/>
          <w:color w:val="0000FF"/>
          <w:highlight w:val="yellow"/>
        </w:rPr>
        <w:t>an/a</w:t>
      </w:r>
      <w:r w:rsidRPr="00641103">
        <w:rPr>
          <w:rFonts w:ascii="Arial" w:eastAsia="Calibri" w:hAnsi="Arial" w:cs="Arial"/>
        </w:rPr>
        <w:t xml:space="preserve"> </w:t>
      </w:r>
      <w:r w:rsidRPr="00D21499">
        <w:rPr>
          <w:rFonts w:ascii="Arial" w:eastAsia="Calibri" w:hAnsi="Arial" w:cs="Arial"/>
          <w:b/>
          <w:color w:val="0000FF"/>
        </w:rPr>
        <w:t>[increase/decrease]</w:t>
      </w:r>
      <w:r w:rsidRPr="00641103">
        <w:rPr>
          <w:rFonts w:ascii="Arial" w:eastAsia="Calibri" w:hAnsi="Arial" w:cs="Arial"/>
        </w:rPr>
        <w:t xml:space="preserve"> of ___from its proportion measured as of June 30, </w:t>
      </w:r>
      <w:r>
        <w:rPr>
          <w:rFonts w:ascii="Arial" w:eastAsia="Calibri" w:hAnsi="Arial" w:cs="Arial"/>
        </w:rPr>
        <w:t>2020</w:t>
      </w:r>
      <w:r w:rsidRPr="00641103">
        <w:rPr>
          <w:rFonts w:ascii="Arial" w:eastAsia="Calibri" w:hAnsi="Arial" w:cs="Arial"/>
        </w:rPr>
        <w:t>, which was __%.</w:t>
      </w:r>
    </w:p>
    <w:p w14:paraId="13AFEB55" w14:textId="77777777" w:rsidR="005558B6" w:rsidRPr="005A31CF" w:rsidRDefault="005558B6" w:rsidP="00A66832">
      <w:pPr>
        <w:spacing w:after="240" w:line="240" w:lineRule="auto"/>
        <w:jc w:val="both"/>
        <w:rPr>
          <w:rFonts w:ascii="Arial" w:eastAsia="Calibri" w:hAnsi="Arial" w:cs="Arial"/>
        </w:rPr>
      </w:pPr>
      <w:r w:rsidRPr="00641103">
        <w:rPr>
          <w:rFonts w:ascii="Arial" w:eastAsia="Calibri" w:hAnsi="Arial" w:cs="Arial"/>
          <w:i/>
        </w:rPr>
        <w:t>Actuarial Assumptions</w:t>
      </w:r>
      <w:r w:rsidRPr="00641103">
        <w:rPr>
          <w:rFonts w:ascii="Arial" w:eastAsia="Calibri" w:hAnsi="Arial" w:cs="Arial"/>
        </w:rPr>
        <w:t>: The following table presents the actuarial assumptions used to determine the tota</w:t>
      </w:r>
      <w:r w:rsidRPr="005A31CF">
        <w:rPr>
          <w:rFonts w:ascii="Arial" w:eastAsia="Calibri" w:hAnsi="Arial" w:cs="Arial"/>
        </w:rPr>
        <w:t>l pension liability for the TSERS plan at the actuarial valuation date:</w:t>
      </w:r>
    </w:p>
    <w:bookmarkStart w:id="319" w:name="_MON_1491808576"/>
    <w:bookmarkEnd w:id="319"/>
    <w:p w14:paraId="5EE3E455" w14:textId="7D3768E9" w:rsidR="005558B6" w:rsidRPr="005A31CF" w:rsidRDefault="00540C93" w:rsidP="00A66832">
      <w:pPr>
        <w:spacing w:after="240" w:line="240" w:lineRule="auto"/>
        <w:jc w:val="center"/>
        <w:rPr>
          <w:rFonts w:ascii="Arial" w:eastAsia="Calibri" w:hAnsi="Arial" w:cs="Arial"/>
        </w:rPr>
      </w:pPr>
      <w:r w:rsidRPr="00A257BE">
        <w:rPr>
          <w:rFonts w:ascii="Arial" w:eastAsia="Calibri" w:hAnsi="Arial" w:cs="Arial"/>
        </w:rPr>
        <w:object w:dxaOrig="5102" w:dyaOrig="1907" w14:anchorId="0B15291F">
          <v:shape id="_x0000_i1045" type="#_x0000_t75" style="width:223.5pt;height:93.75pt" o:ole="">
            <v:imagedata r:id="rId55" o:title=""/>
          </v:shape>
          <o:OLEObject Type="Embed" ProgID="Excel.Sheet.12" ShapeID="_x0000_i1045" DrawAspect="Content" ObjectID="_1721553190" r:id="rId56"/>
        </w:object>
      </w:r>
    </w:p>
    <w:p w14:paraId="67BB8384" w14:textId="708D626E" w:rsidR="005558B6" w:rsidRPr="00641103" w:rsidRDefault="005558B6" w:rsidP="00A66832">
      <w:pPr>
        <w:spacing w:after="240" w:line="240" w:lineRule="auto"/>
        <w:jc w:val="both"/>
        <w:rPr>
          <w:rFonts w:ascii="Arial" w:eastAsia="Calibri" w:hAnsi="Arial" w:cs="Arial"/>
        </w:rPr>
      </w:pPr>
      <w:r w:rsidRPr="005A31CF">
        <w:rPr>
          <w:rFonts w:ascii="Arial" w:eastAsia="Calibri" w:hAnsi="Arial" w:cs="Arial"/>
        </w:rPr>
        <w:t xml:space="preserve">TSERS currently uses mortality tables that vary by age, gender, employee group (i.e. teacher, general, law enforcement officer) and health status (i.e. disabled and healthy). The current mortality rates are based on published tables and based on studies that cover significant portions of the U.S. </w:t>
      </w:r>
      <w:r w:rsidR="00540C93" w:rsidRPr="00540C93">
        <w:rPr>
          <w:rFonts w:ascii="Arial" w:eastAsia="Calibri" w:hAnsi="Arial" w:cs="Arial"/>
          <w:highlight w:val="yellow"/>
        </w:rPr>
        <w:t>public plan</w:t>
      </w:r>
      <w:r w:rsidR="00540C93">
        <w:rPr>
          <w:rFonts w:ascii="Arial" w:eastAsia="Calibri" w:hAnsi="Arial" w:cs="Arial"/>
        </w:rPr>
        <w:t xml:space="preserve"> </w:t>
      </w:r>
      <w:r w:rsidRPr="005A31CF">
        <w:rPr>
          <w:rFonts w:ascii="Arial" w:eastAsia="Calibri" w:hAnsi="Arial" w:cs="Arial"/>
        </w:rPr>
        <w:t xml:space="preserve">population. The mortality rates also contain a provision to reflect future </w:t>
      </w:r>
      <w:r w:rsidRPr="00641103">
        <w:rPr>
          <w:rFonts w:ascii="Arial" w:eastAsia="Calibri" w:hAnsi="Arial" w:cs="Arial"/>
        </w:rPr>
        <w:t xml:space="preserve">mortality improvements. </w:t>
      </w:r>
    </w:p>
    <w:p w14:paraId="1FB15BB6" w14:textId="098D786B" w:rsidR="005558B6" w:rsidRPr="00641103" w:rsidRDefault="005558B6" w:rsidP="00A66832">
      <w:pPr>
        <w:spacing w:after="240" w:line="240" w:lineRule="auto"/>
        <w:jc w:val="both"/>
        <w:rPr>
          <w:rFonts w:ascii="Arial" w:eastAsia="Calibri" w:hAnsi="Arial" w:cs="Arial"/>
        </w:rPr>
      </w:pPr>
      <w:r w:rsidRPr="00641103">
        <w:rPr>
          <w:rFonts w:ascii="Arial" w:eastAsia="Calibri" w:hAnsi="Arial" w:cs="Arial"/>
        </w:rPr>
        <w:t xml:space="preserve">The actuarial assumptions used in the December 31, </w:t>
      </w:r>
      <w:r>
        <w:rPr>
          <w:rFonts w:ascii="Arial" w:eastAsia="Calibri" w:hAnsi="Arial" w:cs="Arial"/>
        </w:rPr>
        <w:t>2020</w:t>
      </w:r>
      <w:r w:rsidRPr="00641103">
        <w:rPr>
          <w:rFonts w:ascii="Arial" w:eastAsia="Calibri" w:hAnsi="Arial" w:cs="Arial"/>
        </w:rPr>
        <w:t xml:space="preserve"> valuations were based on the results of an actuarial experience review for the period January 1, </w:t>
      </w:r>
      <w:r w:rsidRPr="00540C93">
        <w:rPr>
          <w:rFonts w:ascii="Arial" w:eastAsia="Calibri" w:hAnsi="Arial" w:cs="Arial"/>
          <w:highlight w:val="yellow"/>
        </w:rPr>
        <w:t>201</w:t>
      </w:r>
      <w:r w:rsidR="00540C93" w:rsidRPr="00540C93">
        <w:rPr>
          <w:rFonts w:ascii="Arial" w:eastAsia="Calibri" w:hAnsi="Arial" w:cs="Arial"/>
          <w:highlight w:val="yellow"/>
        </w:rPr>
        <w:t>5</w:t>
      </w:r>
      <w:r w:rsidRPr="00641103">
        <w:rPr>
          <w:rFonts w:ascii="Arial" w:eastAsia="Calibri" w:hAnsi="Arial" w:cs="Arial"/>
        </w:rPr>
        <w:t xml:space="preserve"> through </w:t>
      </w:r>
      <w:r w:rsidR="00803B22">
        <w:rPr>
          <w:rFonts w:ascii="Arial" w:eastAsia="Calibri" w:hAnsi="Arial" w:cs="Arial"/>
        </w:rPr>
        <w:br/>
      </w:r>
      <w:r w:rsidRPr="00641103">
        <w:rPr>
          <w:rFonts w:ascii="Arial" w:eastAsia="Calibri" w:hAnsi="Arial" w:cs="Arial"/>
        </w:rPr>
        <w:t xml:space="preserve">December 31, </w:t>
      </w:r>
      <w:r w:rsidRPr="00540C93">
        <w:rPr>
          <w:rFonts w:ascii="Arial" w:eastAsia="Calibri" w:hAnsi="Arial" w:cs="Arial"/>
          <w:highlight w:val="yellow"/>
        </w:rPr>
        <w:t>201</w:t>
      </w:r>
      <w:r w:rsidR="00540C93" w:rsidRPr="00540C93">
        <w:rPr>
          <w:rFonts w:ascii="Arial" w:eastAsia="Calibri" w:hAnsi="Arial" w:cs="Arial"/>
          <w:highlight w:val="yellow"/>
        </w:rPr>
        <w:t>9</w:t>
      </w:r>
      <w:r w:rsidRPr="00641103">
        <w:rPr>
          <w:rFonts w:ascii="Arial" w:eastAsia="Calibri" w:hAnsi="Arial" w:cs="Arial"/>
        </w:rPr>
        <w:t>.</w:t>
      </w:r>
    </w:p>
    <w:p w14:paraId="72181926" w14:textId="77777777" w:rsidR="005558B6" w:rsidRPr="005A31CF" w:rsidRDefault="005558B6" w:rsidP="00A66832">
      <w:pPr>
        <w:spacing w:after="240" w:line="240" w:lineRule="auto"/>
        <w:jc w:val="both"/>
        <w:rPr>
          <w:rFonts w:ascii="Arial" w:eastAsia="Calibri" w:hAnsi="Arial" w:cs="Arial"/>
        </w:rPr>
      </w:pPr>
      <w:r w:rsidRPr="00641103">
        <w:rPr>
          <w:rFonts w:ascii="Arial" w:eastAsia="Calibri" w:hAnsi="Arial" w:cs="Arial"/>
        </w:rPr>
        <w:t xml:space="preserve">Future ad hoc </w:t>
      </w:r>
      <w:r>
        <w:rPr>
          <w:rFonts w:ascii="Arial" w:eastAsia="Calibri" w:hAnsi="Arial" w:cs="Arial"/>
        </w:rPr>
        <w:t>c</w:t>
      </w:r>
      <w:r w:rsidRPr="00641103">
        <w:rPr>
          <w:rFonts w:ascii="Arial" w:eastAsia="Calibri" w:hAnsi="Arial" w:cs="Arial"/>
        </w:rPr>
        <w:t xml:space="preserve">ost of </w:t>
      </w:r>
      <w:r>
        <w:rPr>
          <w:rFonts w:ascii="Arial" w:eastAsia="Calibri" w:hAnsi="Arial" w:cs="Arial"/>
        </w:rPr>
        <w:t>l</w:t>
      </w:r>
      <w:r w:rsidRPr="00641103">
        <w:rPr>
          <w:rFonts w:ascii="Arial" w:eastAsia="Calibri" w:hAnsi="Arial" w:cs="Arial"/>
        </w:rPr>
        <w:t xml:space="preserve">iving </w:t>
      </w:r>
      <w:r>
        <w:rPr>
          <w:rFonts w:ascii="Arial" w:eastAsia="Calibri" w:hAnsi="Arial" w:cs="Arial"/>
        </w:rPr>
        <w:t>a</w:t>
      </w:r>
      <w:r w:rsidRPr="00641103">
        <w:rPr>
          <w:rFonts w:ascii="Arial" w:eastAsia="Calibri" w:hAnsi="Arial" w:cs="Arial"/>
        </w:rPr>
        <w:t>djustment amounts</w:t>
      </w:r>
      <w:r w:rsidRPr="005A31CF">
        <w:rPr>
          <w:rFonts w:ascii="Arial" w:eastAsia="Calibri" w:hAnsi="Arial" w:cs="Arial"/>
        </w:rPr>
        <w:t xml:space="preserve"> are not considered to be substantively automatic and are therefore not included in the measurement. </w:t>
      </w:r>
    </w:p>
    <w:p w14:paraId="2189C450" w14:textId="428F5903" w:rsidR="005558B6" w:rsidRPr="005A31CF" w:rsidRDefault="005558B6" w:rsidP="00A66832">
      <w:pPr>
        <w:spacing w:after="240" w:line="240" w:lineRule="auto"/>
        <w:jc w:val="both"/>
        <w:rPr>
          <w:rFonts w:ascii="Arial" w:eastAsia="Calibri" w:hAnsi="Arial" w:cs="Arial"/>
        </w:rPr>
      </w:pPr>
      <w:r w:rsidRPr="005A31CF">
        <w:rPr>
          <w:rFonts w:ascii="Arial" w:eastAsia="Calibri" w:hAnsi="Arial" w:cs="Arial"/>
        </w:rPr>
        <w:t>The projected long-term investment returns and inflation assumptions are developed through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weighting the expected future real rates of return by the target asset allocation percentage and by adding expected inflation. Best estimates of arithmetic real rates of return for each major asset class included in the pension plan’s target asset allocation as of June 3</w:t>
      </w:r>
      <w:r>
        <w:rPr>
          <w:rFonts w:ascii="Arial" w:eastAsia="Calibri" w:hAnsi="Arial" w:cs="Arial"/>
        </w:rPr>
        <w:t>0, 2021</w:t>
      </w:r>
      <w:r w:rsidRPr="005A31CF">
        <w:rPr>
          <w:rFonts w:ascii="Arial" w:eastAsia="Calibri" w:hAnsi="Arial" w:cs="Arial"/>
        </w:rPr>
        <w:t xml:space="preserve"> (the </w:t>
      </w:r>
      <w:r w:rsidR="000C0676" w:rsidRPr="000C0676">
        <w:rPr>
          <w:rFonts w:ascii="Arial" w:eastAsia="Calibri" w:hAnsi="Arial" w:cs="Arial"/>
          <w:highlight w:val="yellow"/>
        </w:rPr>
        <w:t>measurement</w:t>
      </w:r>
      <w:r w:rsidRPr="005A31CF">
        <w:rPr>
          <w:rFonts w:ascii="Arial" w:eastAsia="Calibri" w:hAnsi="Arial" w:cs="Arial"/>
        </w:rPr>
        <w:t xml:space="preserve"> date) are summarized in the following table:</w:t>
      </w:r>
    </w:p>
    <w:bookmarkStart w:id="320" w:name="_MON_1491808704"/>
    <w:bookmarkEnd w:id="320"/>
    <w:p w14:paraId="3D3CEE21" w14:textId="77777777" w:rsidR="005558B6" w:rsidRPr="005A31CF" w:rsidRDefault="005558B6" w:rsidP="00A66832">
      <w:pPr>
        <w:spacing w:after="240" w:line="240" w:lineRule="auto"/>
        <w:jc w:val="center"/>
        <w:rPr>
          <w:rFonts w:ascii="Arial" w:eastAsia="Calibri" w:hAnsi="Arial" w:cs="Arial"/>
        </w:rPr>
      </w:pPr>
      <w:r w:rsidRPr="00DD6B43">
        <w:rPr>
          <w:rFonts w:ascii="Arial" w:hAnsi="Arial" w:cs="Arial"/>
        </w:rPr>
        <w:object w:dxaOrig="4573" w:dyaOrig="2169" w14:anchorId="45D73D83">
          <v:shape id="_x0000_i1046" type="#_x0000_t75" style="width:201.75pt;height:108pt" o:ole="">
            <v:imagedata r:id="rId57" o:title=""/>
          </v:shape>
          <o:OLEObject Type="Embed" ProgID="Excel.Sheet.12" ShapeID="_x0000_i1046" DrawAspect="Content" ObjectID="_1721553191" r:id="rId58"/>
        </w:object>
      </w:r>
    </w:p>
    <w:p w14:paraId="65884340" w14:textId="0DC341E6" w:rsidR="005558B6" w:rsidRPr="00641103" w:rsidRDefault="005558B6" w:rsidP="00A66832">
      <w:pPr>
        <w:spacing w:after="240" w:line="240" w:lineRule="auto"/>
        <w:jc w:val="both"/>
        <w:rPr>
          <w:rFonts w:ascii="Arial" w:eastAsia="Calibri" w:hAnsi="Arial" w:cs="Arial"/>
        </w:rPr>
      </w:pPr>
      <w:r w:rsidRPr="000A7EFA">
        <w:rPr>
          <w:rFonts w:ascii="Arial" w:eastAsia="Calibri" w:hAnsi="Arial" w:cs="Arial"/>
        </w:rPr>
        <w:t xml:space="preserve">The information in the preceding table is based on 30-year expectations developed with the consulting actuary </w:t>
      </w:r>
      <w:r w:rsidR="00540C93" w:rsidRPr="00540C93">
        <w:rPr>
          <w:rFonts w:ascii="Arial" w:eastAsia="Calibri" w:hAnsi="Arial" w:cs="Arial"/>
          <w:highlight w:val="yellow"/>
        </w:rPr>
        <w:t>as part of a study conducted in 2016,</w:t>
      </w:r>
      <w:r w:rsidR="00540C93">
        <w:rPr>
          <w:rFonts w:ascii="Arial" w:eastAsia="Calibri" w:hAnsi="Arial" w:cs="Arial"/>
        </w:rPr>
        <w:t xml:space="preserve"> </w:t>
      </w:r>
      <w:r w:rsidRPr="000A7EFA">
        <w:rPr>
          <w:rFonts w:ascii="Arial" w:eastAsia="Calibri" w:hAnsi="Arial" w:cs="Arial"/>
        </w:rPr>
        <w:t>and is part of the asset, liability</w:t>
      </w:r>
      <w:r>
        <w:rPr>
          <w:rFonts w:ascii="Arial" w:eastAsia="Calibri" w:hAnsi="Arial" w:cs="Arial"/>
        </w:rPr>
        <w:t>,</w:t>
      </w:r>
      <w:r w:rsidRPr="000A7EFA">
        <w:rPr>
          <w:rFonts w:ascii="Arial" w:eastAsia="Calibri" w:hAnsi="Arial" w:cs="Arial"/>
        </w:rPr>
        <w:t xml:space="preserve"> and investment policy of the North Carolina Retirement Systems. The long-term nominal rates of return underlying the real rates of return are arithmetic annualized figures. The real rates of return are calculated from </w:t>
      </w:r>
      <w:r w:rsidRPr="00641103">
        <w:rPr>
          <w:rFonts w:ascii="Arial" w:eastAsia="Calibri" w:hAnsi="Arial" w:cs="Arial"/>
        </w:rPr>
        <w:t xml:space="preserve">nominal rates by multiplicatively subtracting a long-term inflation assumption of 3.05%. Return projections do not include any excess return expectations over benchmark averages. All rates of return and inflation are annualized. The long-term expected real rate of return for the Bond Index Investment Pool as of June 30, </w:t>
      </w:r>
      <w:r>
        <w:rPr>
          <w:rFonts w:ascii="Arial" w:eastAsia="Calibri" w:hAnsi="Arial" w:cs="Arial"/>
        </w:rPr>
        <w:t>2021</w:t>
      </w:r>
      <w:r w:rsidRPr="00641103">
        <w:rPr>
          <w:rFonts w:ascii="Arial" w:eastAsia="Calibri" w:hAnsi="Arial" w:cs="Arial"/>
        </w:rPr>
        <w:t xml:space="preserve"> is </w:t>
      </w:r>
      <w:r w:rsidRPr="00780E00">
        <w:rPr>
          <w:rFonts w:ascii="Arial" w:eastAsia="Calibri" w:hAnsi="Arial" w:cs="Arial"/>
          <w:highlight w:val="yellow"/>
        </w:rPr>
        <w:t>1.</w:t>
      </w:r>
      <w:r w:rsidR="00540C93">
        <w:rPr>
          <w:rFonts w:ascii="Arial" w:eastAsia="Calibri" w:hAnsi="Arial" w:cs="Arial"/>
          <w:highlight w:val="yellow"/>
        </w:rPr>
        <w:t>3</w:t>
      </w:r>
      <w:r w:rsidRPr="00780E00">
        <w:rPr>
          <w:rFonts w:ascii="Arial" w:eastAsia="Calibri" w:hAnsi="Arial" w:cs="Arial"/>
          <w:highlight w:val="yellow"/>
        </w:rPr>
        <w:t>%.</w:t>
      </w:r>
    </w:p>
    <w:p w14:paraId="3788D13B" w14:textId="424B9CA8" w:rsidR="005558B6" w:rsidRPr="00641103" w:rsidRDefault="005558B6" w:rsidP="00A66832">
      <w:pPr>
        <w:spacing w:after="240" w:line="240" w:lineRule="auto"/>
        <w:jc w:val="both"/>
        <w:rPr>
          <w:rFonts w:ascii="Arial" w:eastAsia="Calibri" w:hAnsi="Arial" w:cs="Arial"/>
        </w:rPr>
      </w:pPr>
      <w:r w:rsidRPr="00641103">
        <w:rPr>
          <w:rFonts w:ascii="Arial" w:eastAsia="Calibri" w:hAnsi="Arial" w:cs="Arial"/>
          <w:i/>
        </w:rPr>
        <w:t>Discount Rate:</w:t>
      </w:r>
      <w:r w:rsidRPr="00641103">
        <w:rPr>
          <w:rFonts w:ascii="Arial" w:eastAsia="Calibri" w:hAnsi="Arial" w:cs="Arial"/>
        </w:rPr>
        <w:t xml:space="preserve"> The discount rate used to measure the total pension liability was </w:t>
      </w:r>
      <w:r w:rsidR="00540C93" w:rsidRPr="00540C93">
        <w:rPr>
          <w:rFonts w:ascii="Arial" w:eastAsia="Calibri" w:hAnsi="Arial" w:cs="Arial"/>
          <w:highlight w:val="yellow"/>
        </w:rPr>
        <w:t>6.5</w:t>
      </w:r>
      <w:r w:rsidRPr="00540C93">
        <w:rPr>
          <w:rFonts w:ascii="Arial" w:eastAsia="Calibri" w:hAnsi="Arial" w:cs="Arial"/>
          <w:highlight w:val="yellow"/>
        </w:rPr>
        <w:t>%</w:t>
      </w:r>
      <w:r w:rsidRPr="00641103">
        <w:rPr>
          <w:rFonts w:ascii="Arial" w:eastAsia="Calibri" w:hAnsi="Arial" w:cs="Arial"/>
        </w:rPr>
        <w:t xml:space="preserve"> for the December 31, </w:t>
      </w:r>
      <w:r>
        <w:rPr>
          <w:rFonts w:ascii="Arial" w:eastAsia="Calibri" w:hAnsi="Arial" w:cs="Arial"/>
        </w:rPr>
        <w:t>2020</w:t>
      </w:r>
      <w:r w:rsidRPr="00641103">
        <w:rPr>
          <w:rFonts w:ascii="Arial" w:eastAsia="Calibri" w:hAnsi="Arial" w:cs="Arial"/>
        </w:rPr>
        <w:t xml:space="preserve"> valuation. This discount rate is in line with the long-term nominal expected return on pension plan investments. The calculation of the net pension liability is a present value calculation of the future net pension payments. These net pension payments assume that contributions from plan members will be made at the current statutory contribution rate and that contributions from employers will be made at the contractually required rates, actuarially determined. Based on those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 </w:t>
      </w:r>
    </w:p>
    <w:p w14:paraId="16CF9C41" w14:textId="2E1DAD3D" w:rsidR="005558B6" w:rsidRPr="005A31CF" w:rsidRDefault="005558B6" w:rsidP="00A66832">
      <w:pPr>
        <w:spacing w:after="240" w:line="240" w:lineRule="auto"/>
        <w:jc w:val="both"/>
        <w:rPr>
          <w:rFonts w:ascii="Arial" w:eastAsia="Calibri" w:hAnsi="Arial" w:cs="Arial"/>
        </w:rPr>
      </w:pPr>
      <w:r w:rsidRPr="00641103">
        <w:rPr>
          <w:rFonts w:ascii="Arial" w:eastAsia="Calibri" w:hAnsi="Arial" w:cs="Arial"/>
          <w:i/>
        </w:rPr>
        <w:t xml:space="preserve">Sensitivity of the Net Pension Liability to Changes in the Discount Rate: </w:t>
      </w:r>
      <w:r w:rsidRPr="00641103">
        <w:rPr>
          <w:rFonts w:ascii="Arial" w:eastAsia="Calibri" w:hAnsi="Arial" w:cs="Arial"/>
        </w:rPr>
        <w:t xml:space="preserve">The following presents the net pension liability of the plan at June 30, </w:t>
      </w:r>
      <w:r>
        <w:rPr>
          <w:rFonts w:ascii="Arial" w:eastAsia="Calibri" w:hAnsi="Arial" w:cs="Arial"/>
        </w:rPr>
        <w:t>2021</w:t>
      </w:r>
      <w:r w:rsidRPr="00641103">
        <w:rPr>
          <w:rFonts w:ascii="Arial" w:eastAsia="Calibri" w:hAnsi="Arial" w:cs="Arial"/>
        </w:rPr>
        <w:t xml:space="preserve"> calculated </w:t>
      </w:r>
      <w:r w:rsidRPr="00465608">
        <w:rPr>
          <w:rFonts w:ascii="Arial" w:eastAsia="Calibri" w:hAnsi="Arial" w:cs="Arial"/>
        </w:rPr>
        <w:t xml:space="preserve">using the discount rate of </w:t>
      </w:r>
      <w:r w:rsidR="00540C93" w:rsidRPr="00540C93">
        <w:rPr>
          <w:rFonts w:ascii="Arial" w:eastAsia="Calibri" w:hAnsi="Arial" w:cs="Arial"/>
          <w:highlight w:val="yellow"/>
        </w:rPr>
        <w:t>6.5</w:t>
      </w:r>
      <w:r w:rsidRPr="00540C93">
        <w:rPr>
          <w:rFonts w:ascii="Arial" w:eastAsia="Calibri" w:hAnsi="Arial" w:cs="Arial"/>
          <w:highlight w:val="yellow"/>
        </w:rPr>
        <w:t>%</w:t>
      </w:r>
      <w:r w:rsidRPr="00465608">
        <w:rPr>
          <w:rFonts w:ascii="Arial" w:eastAsia="Calibri" w:hAnsi="Arial" w:cs="Arial"/>
        </w:rPr>
        <w:t>, as well as what the net pension liability would be if it were calculated using a discount rate that is 1-percentage point lower (</w:t>
      </w:r>
      <w:r w:rsidR="00540C93" w:rsidRPr="00540C93">
        <w:rPr>
          <w:rFonts w:ascii="Arial" w:eastAsia="Calibri" w:hAnsi="Arial" w:cs="Arial"/>
          <w:highlight w:val="yellow"/>
        </w:rPr>
        <w:t>5.5</w:t>
      </w:r>
      <w:r w:rsidRPr="00540C93">
        <w:rPr>
          <w:rFonts w:ascii="Arial" w:eastAsia="Calibri" w:hAnsi="Arial" w:cs="Arial"/>
          <w:highlight w:val="yellow"/>
        </w:rPr>
        <w:t>%</w:t>
      </w:r>
      <w:r w:rsidRPr="00465608">
        <w:rPr>
          <w:rFonts w:ascii="Arial" w:eastAsia="Calibri" w:hAnsi="Arial" w:cs="Arial"/>
        </w:rPr>
        <w:t>) or 1-percentage point higher (</w:t>
      </w:r>
      <w:r w:rsidR="00540C93" w:rsidRPr="00540C93">
        <w:rPr>
          <w:rFonts w:ascii="Arial" w:eastAsia="Calibri" w:hAnsi="Arial" w:cs="Arial"/>
          <w:highlight w:val="yellow"/>
        </w:rPr>
        <w:t>7.5</w:t>
      </w:r>
      <w:r w:rsidRPr="00540C93">
        <w:rPr>
          <w:rFonts w:ascii="Arial" w:eastAsia="Calibri" w:hAnsi="Arial" w:cs="Arial"/>
          <w:highlight w:val="yellow"/>
        </w:rPr>
        <w:t>%</w:t>
      </w:r>
      <w:r w:rsidRPr="00465608">
        <w:rPr>
          <w:rFonts w:ascii="Arial" w:eastAsia="Calibri" w:hAnsi="Arial" w:cs="Arial"/>
        </w:rPr>
        <w:t>) than the current rate:</w:t>
      </w:r>
    </w:p>
    <w:bookmarkStart w:id="321" w:name="_MON_1491808850"/>
    <w:bookmarkEnd w:id="321"/>
    <w:p w14:paraId="35AA1898" w14:textId="3B87E318" w:rsidR="005558B6" w:rsidRPr="005A31CF" w:rsidRDefault="00540C93" w:rsidP="00A66832">
      <w:pPr>
        <w:spacing w:after="240" w:line="240" w:lineRule="auto"/>
        <w:jc w:val="center"/>
        <w:rPr>
          <w:rFonts w:ascii="Arial" w:eastAsia="Calibri" w:hAnsi="Arial" w:cs="Arial"/>
        </w:rPr>
      </w:pPr>
      <w:r w:rsidRPr="008168BA">
        <w:rPr>
          <w:rFonts w:ascii="Arial" w:eastAsia="Calibri" w:hAnsi="Arial" w:cs="Arial"/>
        </w:rPr>
        <w:object w:dxaOrig="6759" w:dyaOrig="942" w14:anchorId="6D5FADB8">
          <v:shape id="_x0000_i1047" type="#_x0000_t75" style="width:302.25pt;height:50.25pt" o:ole="">
            <v:imagedata r:id="rId59" o:title=""/>
          </v:shape>
          <o:OLEObject Type="Embed" ProgID="Excel.Sheet.12" ShapeID="_x0000_i1047" DrawAspect="Content" ObjectID="_1721553192" r:id="rId60"/>
        </w:object>
      </w:r>
    </w:p>
    <w:p w14:paraId="597E54C9" w14:textId="60AB50CA" w:rsidR="005558B6" w:rsidRDefault="005558B6" w:rsidP="00A66832">
      <w:pPr>
        <w:spacing w:after="240" w:line="240" w:lineRule="auto"/>
        <w:jc w:val="both"/>
        <w:rPr>
          <w:rFonts w:ascii="Arial" w:eastAsia="Calibri" w:hAnsi="Arial" w:cs="Arial"/>
        </w:rPr>
      </w:pPr>
      <w:r w:rsidRPr="000A7EFA">
        <w:rPr>
          <w:rFonts w:ascii="Arial" w:eastAsia="Calibri" w:hAnsi="Arial" w:cs="Arial"/>
          <w:i/>
        </w:rPr>
        <w:t>Deferred Outflows of Resources and Deferred Inflows</w:t>
      </w:r>
      <w:r w:rsidRPr="005A31CF">
        <w:rPr>
          <w:rFonts w:ascii="Arial" w:eastAsia="Calibri" w:hAnsi="Arial" w:cs="Arial"/>
          <w:i/>
        </w:rPr>
        <w:t xml:space="preserve"> of Resources Related to Pensions: </w:t>
      </w:r>
      <w:r w:rsidRPr="005A31CF">
        <w:rPr>
          <w:rFonts w:ascii="Arial" w:eastAsia="Calibri" w:hAnsi="Arial" w:cs="Arial"/>
        </w:rPr>
        <w:t>For the year ended</w:t>
      </w:r>
      <w:r>
        <w:rPr>
          <w:rFonts w:ascii="Arial" w:eastAsia="Calibri" w:hAnsi="Arial" w:cs="Arial"/>
        </w:rPr>
        <w:t xml:space="preserve"> June 30, 2022</w:t>
      </w:r>
      <w:r w:rsidRPr="005A31CF">
        <w:rPr>
          <w:rFonts w:ascii="Arial" w:eastAsia="Calibri" w:hAnsi="Arial" w:cs="Arial"/>
        </w:rPr>
        <w:t>, the College recognized pension exp</w:t>
      </w:r>
      <w:r>
        <w:rPr>
          <w:rFonts w:ascii="Arial" w:eastAsia="Calibri" w:hAnsi="Arial" w:cs="Arial"/>
        </w:rPr>
        <w:t>ense of $_____. At June 30, 2022</w:t>
      </w:r>
      <w:r w:rsidRPr="005A31CF">
        <w:rPr>
          <w:rFonts w:ascii="Arial" w:eastAsia="Calibri" w:hAnsi="Arial" w:cs="Arial"/>
        </w:rPr>
        <w:t xml:space="preserve">, the College reported deferred outflows of resources and deferred inflows of resources related to </w:t>
      </w:r>
      <w:r w:rsidR="000C0676" w:rsidRPr="000C0676">
        <w:rPr>
          <w:rFonts w:ascii="Arial" w:eastAsia="Calibri" w:hAnsi="Arial" w:cs="Arial"/>
          <w:highlight w:val="yellow"/>
        </w:rPr>
        <w:t>TSERS</w:t>
      </w:r>
      <w:r w:rsidRPr="005A31CF">
        <w:rPr>
          <w:rFonts w:ascii="Arial" w:eastAsia="Calibri" w:hAnsi="Arial" w:cs="Arial"/>
        </w:rPr>
        <w:t xml:space="preserve"> from the following sources:</w:t>
      </w:r>
    </w:p>
    <w:bookmarkStart w:id="322" w:name="_MON_1560345106"/>
    <w:bookmarkEnd w:id="322"/>
    <w:p w14:paraId="5E878D7E" w14:textId="77777777" w:rsidR="005558B6" w:rsidRPr="005A31CF" w:rsidRDefault="005558B6" w:rsidP="00A66832">
      <w:pPr>
        <w:spacing w:after="240" w:line="240" w:lineRule="auto"/>
        <w:jc w:val="center"/>
        <w:rPr>
          <w:rFonts w:ascii="Arial" w:eastAsia="Calibri" w:hAnsi="Arial" w:cs="Arial"/>
        </w:rPr>
      </w:pPr>
      <w:r w:rsidRPr="00EE3784">
        <w:rPr>
          <w:rFonts w:ascii="Arial" w:hAnsi="Arial" w:cs="Arial"/>
        </w:rPr>
        <w:object w:dxaOrig="6841" w:dyaOrig="6977" w14:anchorId="0A98519A">
          <v:shape id="_x0000_i1048" type="#_x0000_t75" style="width:302.25pt;height:345pt" o:ole="">
            <v:imagedata r:id="rId61" o:title=""/>
          </v:shape>
          <o:OLEObject Type="Embed" ProgID="Excel.Sheet.12" ShapeID="_x0000_i1048" DrawAspect="Content" ObjectID="_1721553193" r:id="rId62"/>
        </w:object>
      </w:r>
    </w:p>
    <w:p w14:paraId="114BF8E3" w14:textId="19E35C90" w:rsidR="005558B6" w:rsidRPr="00667308" w:rsidRDefault="005558B6" w:rsidP="00A66832">
      <w:pPr>
        <w:spacing w:after="240" w:line="240" w:lineRule="auto"/>
        <w:jc w:val="both"/>
        <w:rPr>
          <w:rFonts w:ascii="Arial" w:eastAsia="Times New Roman" w:hAnsi="Arial" w:cs="Arial"/>
        </w:rPr>
      </w:pPr>
      <w:bookmarkStart w:id="323" w:name="_MON_1491809017"/>
      <w:bookmarkEnd w:id="323"/>
      <w:r w:rsidRPr="00667308">
        <w:rPr>
          <w:rFonts w:ascii="Arial" w:eastAsia="Calibri" w:hAnsi="Arial" w:cs="Arial"/>
        </w:rPr>
        <w:t xml:space="preserve">The amount </w:t>
      </w:r>
      <w:r w:rsidRPr="00641103">
        <w:rPr>
          <w:rFonts w:ascii="Arial" w:eastAsia="Calibri" w:hAnsi="Arial" w:cs="Arial"/>
        </w:rPr>
        <w:t xml:space="preserve">reported as deferred outflows of resources related to contributions subsequent to the measurement date will be </w:t>
      </w:r>
      <w:r w:rsidR="00540C93" w:rsidRPr="00540C93">
        <w:rPr>
          <w:rFonts w:ascii="Arial" w:eastAsia="Calibri" w:hAnsi="Arial" w:cs="Arial"/>
          <w:highlight w:val="yellow"/>
        </w:rPr>
        <w:t>recognized</w:t>
      </w:r>
      <w:r w:rsidRPr="00641103">
        <w:rPr>
          <w:rFonts w:ascii="Arial" w:eastAsia="Calibri" w:hAnsi="Arial" w:cs="Arial"/>
        </w:rPr>
        <w:t xml:space="preserve"> as a reduction of the net pension liability in the fiscal year </w:t>
      </w:r>
      <w:r w:rsidRPr="00EA3FBC">
        <w:rPr>
          <w:rFonts w:ascii="Arial" w:eastAsia="Calibri" w:hAnsi="Arial" w:cs="Arial"/>
          <w:highlight w:val="yellow"/>
        </w:rPr>
        <w:t>ending</w:t>
      </w:r>
      <w:r w:rsidRPr="00A43AC5">
        <w:rPr>
          <w:rFonts w:ascii="Arial" w:eastAsia="Calibri" w:hAnsi="Arial" w:cs="Arial"/>
          <w:color w:val="FF0000"/>
        </w:rPr>
        <w:t xml:space="preserve"> </w:t>
      </w:r>
      <w:r w:rsidRPr="00641103">
        <w:rPr>
          <w:rFonts w:ascii="Arial" w:eastAsia="Calibri" w:hAnsi="Arial" w:cs="Arial"/>
        </w:rPr>
        <w:t xml:space="preserve">June 30, </w:t>
      </w:r>
      <w:r>
        <w:rPr>
          <w:rFonts w:ascii="Arial" w:eastAsia="Calibri" w:hAnsi="Arial" w:cs="Arial"/>
        </w:rPr>
        <w:t>2023</w:t>
      </w:r>
      <w:r w:rsidRPr="00641103">
        <w:rPr>
          <w:rFonts w:ascii="Arial" w:eastAsia="Calibri" w:hAnsi="Arial" w:cs="Arial"/>
        </w:rPr>
        <w:t xml:space="preserve">. Other amounts reported as deferred outflows of resources and deferred inflows of resources related to </w:t>
      </w:r>
      <w:r w:rsidR="002064DA" w:rsidRPr="002064DA">
        <w:rPr>
          <w:rFonts w:ascii="Arial" w:eastAsia="Calibri" w:hAnsi="Arial" w:cs="Arial"/>
          <w:highlight w:val="yellow"/>
        </w:rPr>
        <w:t>TSERS</w:t>
      </w:r>
      <w:r w:rsidRPr="00641103">
        <w:rPr>
          <w:rFonts w:ascii="Arial" w:eastAsia="Calibri" w:hAnsi="Arial" w:cs="Arial"/>
        </w:rPr>
        <w:t xml:space="preserve"> will be recognized as</w:t>
      </w:r>
      <w:r w:rsidRPr="005A31CF">
        <w:rPr>
          <w:rFonts w:ascii="Arial" w:eastAsia="Calibri" w:hAnsi="Arial" w:cs="Arial"/>
        </w:rPr>
        <w:t xml:space="preserve"> pension expense as follows: </w:t>
      </w:r>
    </w:p>
    <w:bookmarkStart w:id="324" w:name="_MON_1491809481"/>
    <w:bookmarkEnd w:id="324"/>
    <w:p w14:paraId="2A97D556" w14:textId="77777777" w:rsidR="005558B6" w:rsidRPr="005A31CF" w:rsidRDefault="005558B6" w:rsidP="00A66832">
      <w:pPr>
        <w:spacing w:after="240" w:line="240" w:lineRule="auto"/>
        <w:jc w:val="center"/>
        <w:rPr>
          <w:rFonts w:ascii="Arial" w:eastAsia="Calibri" w:hAnsi="Arial" w:cs="Arial"/>
        </w:rPr>
      </w:pPr>
      <w:r w:rsidRPr="003D50F8">
        <w:rPr>
          <w:rFonts w:ascii="Arial" w:eastAsia="Calibri" w:hAnsi="Arial" w:cs="Arial"/>
        </w:rPr>
        <w:object w:dxaOrig="5181" w:dyaOrig="4014" w14:anchorId="107F27D6">
          <v:shape id="_x0000_i1049" type="#_x0000_t75" style="width:230.25pt;height:201.75pt" o:ole="">
            <v:imagedata r:id="rId63" o:title=""/>
          </v:shape>
          <o:OLEObject Type="Embed" ProgID="Excel.Sheet.12" ShapeID="_x0000_i1049" DrawAspect="Content" ObjectID="_1721553194" r:id="rId64"/>
        </w:object>
      </w:r>
    </w:p>
    <w:p w14:paraId="1DE018EA"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lastRenderedPageBreak/>
        <w:t>Note 15</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Other Postemployment Benefits</w:t>
      </w:r>
    </w:p>
    <w:p w14:paraId="3928863A" w14:textId="51EBDC46" w:rsidR="005558B6" w:rsidRPr="00641103" w:rsidRDefault="005558B6" w:rsidP="00A66832">
      <w:pPr>
        <w:spacing w:after="240" w:line="240" w:lineRule="auto"/>
        <w:jc w:val="both"/>
        <w:rPr>
          <w:rFonts w:ascii="Arial" w:eastAsia="Times New Roman" w:hAnsi="Arial" w:cs="Arial"/>
        </w:rPr>
      </w:pPr>
      <w:r w:rsidRPr="00641103">
        <w:rPr>
          <w:rFonts w:ascii="Arial" w:eastAsia="Times New Roman" w:hAnsi="Arial" w:cs="Arial"/>
        </w:rPr>
        <w:t xml:space="preserve">The College participates in two postemployment benefit plans, the Retiree Health Benefit Fund and the Disability Income Plan of North Carolina, that are administered by the State of North Carolina as pension and other employee benefit trust funds. Each plan’s financial information, including all information about the plans’ assets, deferred outflows of resources, liabilities, deferred inflows of resources, and fiduciary net </w:t>
      </w:r>
      <w:r w:rsidRPr="00A01FD0">
        <w:rPr>
          <w:rFonts w:ascii="Arial" w:eastAsia="Times New Roman" w:hAnsi="Arial" w:cs="Arial"/>
        </w:rPr>
        <w:t>position, is included in the State of North Carolina’s fiscal year 202</w:t>
      </w:r>
      <w:r>
        <w:rPr>
          <w:rFonts w:ascii="Arial" w:eastAsia="Times New Roman" w:hAnsi="Arial" w:cs="Arial"/>
        </w:rPr>
        <w:t>1</w:t>
      </w:r>
      <w:r w:rsidRPr="00A01FD0">
        <w:rPr>
          <w:rFonts w:ascii="Arial" w:eastAsia="Times New Roman" w:hAnsi="Arial" w:cs="Arial"/>
          <w:i/>
        </w:rPr>
        <w:t xml:space="preserve"> </w:t>
      </w:r>
      <w:r w:rsidRPr="002D7279">
        <w:rPr>
          <w:rFonts w:ascii="Arial" w:eastAsia="Times New Roman" w:hAnsi="Arial" w:cs="Arial"/>
          <w:i/>
          <w:highlight w:val="yellow"/>
        </w:rPr>
        <w:t>Annual Comprehensive</w:t>
      </w:r>
      <w:r w:rsidRPr="007E4287">
        <w:rPr>
          <w:rFonts w:ascii="Arial" w:eastAsia="Times New Roman" w:hAnsi="Arial" w:cs="Arial"/>
          <w:i/>
        </w:rPr>
        <w:t xml:space="preserve"> </w:t>
      </w:r>
      <w:r w:rsidRPr="00A01FD0">
        <w:rPr>
          <w:rFonts w:ascii="Arial" w:eastAsia="Times New Roman" w:hAnsi="Arial" w:cs="Arial"/>
          <w:i/>
        </w:rPr>
        <w:t>Financial Report.</w:t>
      </w:r>
      <w:r w:rsidRPr="00A01FD0">
        <w:rPr>
          <w:rFonts w:ascii="Arial" w:eastAsia="Times New Roman" w:hAnsi="Arial" w:cs="Arial"/>
        </w:rPr>
        <w:t xml:space="preserve"> An electronic version of this report is available on the</w:t>
      </w:r>
      <w:r w:rsidRPr="00641103">
        <w:rPr>
          <w:rFonts w:ascii="Arial" w:eastAsia="Times New Roman" w:hAnsi="Arial" w:cs="Arial"/>
        </w:rPr>
        <w:t xml:space="preserve"> North Carolina Office of the State Controller’s website at </w:t>
      </w:r>
      <w:hyperlink r:id="rId65" w:history="1">
        <w:r w:rsidRPr="00C10CD4">
          <w:rPr>
            <w:rStyle w:val="Hyperlink"/>
            <w:rFonts w:ascii="Arial" w:eastAsia="Times New Roman" w:hAnsi="Arial" w:cs="Arial"/>
          </w:rPr>
          <w:t>https://www.osc.nc.gov/</w:t>
        </w:r>
      </w:hyperlink>
      <w:r>
        <w:rPr>
          <w:rFonts w:ascii="Arial" w:eastAsia="Times New Roman" w:hAnsi="Arial" w:cs="Arial"/>
        </w:rPr>
        <w:t xml:space="preserve"> </w:t>
      </w:r>
      <w:r w:rsidRPr="00641103">
        <w:rPr>
          <w:rFonts w:ascii="Arial" w:eastAsia="Times New Roman" w:hAnsi="Arial" w:cs="Arial"/>
        </w:rPr>
        <w:t xml:space="preserve">or by calling the State Controller’s Financial Reporting Section at </w:t>
      </w:r>
      <w:r w:rsidR="00803B22">
        <w:rPr>
          <w:rFonts w:ascii="Arial" w:eastAsia="Times New Roman" w:hAnsi="Arial" w:cs="Arial"/>
        </w:rPr>
        <w:br/>
      </w:r>
      <w:r w:rsidRPr="00641103">
        <w:rPr>
          <w:rFonts w:ascii="Arial" w:eastAsia="Times New Roman" w:hAnsi="Arial" w:cs="Arial"/>
        </w:rPr>
        <w:t>(919) 707-0500.</w:t>
      </w:r>
    </w:p>
    <w:p w14:paraId="62B221E8" w14:textId="77777777" w:rsidR="005558B6" w:rsidRPr="00641103" w:rsidRDefault="005558B6" w:rsidP="00A66832">
      <w:pPr>
        <w:pStyle w:val="ListParagraph"/>
        <w:numPr>
          <w:ilvl w:val="0"/>
          <w:numId w:val="32"/>
        </w:numPr>
        <w:tabs>
          <w:tab w:val="left" w:pos="810"/>
        </w:tabs>
        <w:spacing w:after="240"/>
        <w:ind w:left="360"/>
        <w:contextualSpacing w:val="0"/>
        <w:jc w:val="both"/>
        <w:rPr>
          <w:rFonts w:ascii="Arial" w:hAnsi="Arial" w:cs="Arial"/>
          <w:sz w:val="22"/>
        </w:rPr>
      </w:pPr>
      <w:r w:rsidRPr="00641103">
        <w:rPr>
          <w:rFonts w:ascii="Arial" w:hAnsi="Arial" w:cs="Arial"/>
          <w:b/>
          <w:sz w:val="22"/>
        </w:rPr>
        <w:t>Summary of Significant Accounting Policies and Plan Asset Matters</w:t>
      </w:r>
    </w:p>
    <w:p w14:paraId="66CB9C04" w14:textId="5EA6B017" w:rsidR="005558B6" w:rsidRPr="00641103" w:rsidRDefault="005558B6" w:rsidP="00A66832">
      <w:pPr>
        <w:pStyle w:val="ListParagraph"/>
        <w:spacing w:after="240"/>
        <w:ind w:left="360"/>
        <w:contextualSpacing w:val="0"/>
        <w:jc w:val="both"/>
        <w:rPr>
          <w:rStyle w:val="CommentReference"/>
          <w:sz w:val="18"/>
        </w:rPr>
      </w:pPr>
      <w:r w:rsidRPr="00641103">
        <w:rPr>
          <w:rFonts w:ascii="Arial" w:hAnsi="Arial" w:cs="Arial"/>
          <w:i/>
          <w:sz w:val="22"/>
        </w:rPr>
        <w:t>Basis of Accounting:</w:t>
      </w:r>
      <w:r w:rsidRPr="00641103">
        <w:rPr>
          <w:rFonts w:ascii="Arial" w:hAnsi="Arial" w:cs="Arial"/>
          <w:sz w:val="22"/>
        </w:rPr>
        <w:t xml:space="preserve"> The financial statements of these plans were prepared using the accrual basis of accounting. Employer contributions are recognized when due and the </w:t>
      </w:r>
      <w:r w:rsidRPr="002B6D41">
        <w:rPr>
          <w:rFonts w:ascii="Arial" w:hAnsi="Arial" w:cs="Arial"/>
          <w:sz w:val="22"/>
          <w:szCs w:val="22"/>
        </w:rPr>
        <w:t xml:space="preserve">employer has made a formal commitment to provide the contributions. </w:t>
      </w:r>
      <w:r w:rsidRPr="00151684">
        <w:rPr>
          <w:rFonts w:ascii="Arial" w:hAnsi="Arial" w:cs="Arial"/>
          <w:sz w:val="22"/>
          <w:szCs w:val="22"/>
        </w:rPr>
        <w:t xml:space="preserve">Benefits are recognized when due and payable in accordance with the terms of each plan. </w:t>
      </w:r>
      <w:r w:rsidRPr="00F34E2E">
        <w:rPr>
          <w:rFonts w:ascii="Arial" w:hAnsi="Arial" w:cs="Arial"/>
          <w:sz w:val="22"/>
          <w:szCs w:val="22"/>
        </w:rPr>
        <w:t xml:space="preserve">For purposes of measuring the </w:t>
      </w:r>
      <w:r w:rsidRPr="002064DA">
        <w:rPr>
          <w:rFonts w:ascii="Arial" w:hAnsi="Arial" w:cs="Arial"/>
          <w:sz w:val="22"/>
          <w:szCs w:val="22"/>
          <w:highlight w:val="yellow"/>
        </w:rPr>
        <w:t xml:space="preserve">net </w:t>
      </w:r>
      <w:r w:rsidR="002064DA" w:rsidRPr="002064DA">
        <w:rPr>
          <w:rFonts w:ascii="Arial" w:hAnsi="Arial" w:cs="Arial"/>
          <w:sz w:val="22"/>
          <w:szCs w:val="22"/>
          <w:highlight w:val="yellow"/>
        </w:rPr>
        <w:t>other postemployment benefits</w:t>
      </w:r>
      <w:r w:rsidR="002064DA">
        <w:rPr>
          <w:rFonts w:ascii="Arial" w:hAnsi="Arial" w:cs="Arial"/>
          <w:sz w:val="22"/>
          <w:szCs w:val="22"/>
        </w:rPr>
        <w:t xml:space="preserve"> </w:t>
      </w:r>
      <w:r w:rsidR="002064DA" w:rsidRPr="002064DA">
        <w:rPr>
          <w:rFonts w:ascii="Arial" w:hAnsi="Arial" w:cs="Arial"/>
          <w:sz w:val="22"/>
          <w:szCs w:val="22"/>
          <w:highlight w:val="yellow"/>
        </w:rPr>
        <w:t>(</w:t>
      </w:r>
      <w:r w:rsidRPr="00F34E2E">
        <w:rPr>
          <w:rFonts w:ascii="Arial" w:hAnsi="Arial" w:cs="Arial"/>
          <w:sz w:val="22"/>
          <w:szCs w:val="22"/>
        </w:rPr>
        <w:t>OPEB</w:t>
      </w:r>
      <w:r w:rsidR="002064DA" w:rsidRPr="002064DA">
        <w:rPr>
          <w:rFonts w:ascii="Arial" w:hAnsi="Arial" w:cs="Arial"/>
          <w:sz w:val="22"/>
          <w:szCs w:val="22"/>
          <w:highlight w:val="yellow"/>
        </w:rPr>
        <w:t>)</w:t>
      </w:r>
      <w:r w:rsidRPr="00F34E2E">
        <w:rPr>
          <w:rFonts w:ascii="Arial" w:hAnsi="Arial" w:cs="Arial"/>
          <w:sz w:val="22"/>
          <w:szCs w:val="22"/>
        </w:rPr>
        <w:t xml:space="preserve"> liability, deferred outflows of resources and deferred inflows of resources related to OPEB, and OPEB expense, information about the fiduciary net position of each plan, and additions to/deductions from each plans’ fiduciary net position have been determined on the same basis as they are reported by the plans.</w:t>
      </w:r>
      <w:r w:rsidRPr="00D21499">
        <w:rPr>
          <w:rStyle w:val="CommentReference"/>
          <w:sz w:val="22"/>
          <w:szCs w:val="22"/>
        </w:rPr>
        <w:t xml:space="preserve"> </w:t>
      </w:r>
    </w:p>
    <w:p w14:paraId="2C2D4462" w14:textId="77777777" w:rsidR="005558B6" w:rsidRPr="00641103" w:rsidRDefault="005558B6" w:rsidP="00A66832">
      <w:pPr>
        <w:pStyle w:val="ListParagraph"/>
        <w:spacing w:after="240"/>
        <w:ind w:left="360"/>
        <w:contextualSpacing w:val="0"/>
        <w:jc w:val="both"/>
        <w:rPr>
          <w:sz w:val="18"/>
          <w:szCs w:val="16"/>
        </w:rPr>
      </w:pPr>
      <w:r w:rsidRPr="00641103">
        <w:rPr>
          <w:rFonts w:ascii="Arial" w:hAnsi="Arial" w:cs="Arial"/>
          <w:i/>
          <w:sz w:val="22"/>
        </w:rPr>
        <w:t>Methods Used to Value Plan Investments:</w:t>
      </w:r>
      <w:r w:rsidRPr="00641103">
        <w:rPr>
          <w:rFonts w:ascii="Arial" w:hAnsi="Arial" w:cs="Arial"/>
          <w:sz w:val="22"/>
        </w:rPr>
        <w:t xml:space="preserve"> Pursuant to </w:t>
      </w:r>
      <w:r w:rsidRPr="00A66832">
        <w:rPr>
          <w:rFonts w:ascii="Arial" w:hAnsi="Arial" w:cs="Arial"/>
          <w:sz w:val="22"/>
        </w:rPr>
        <w:t>North Carolina General Statutes</w:t>
      </w:r>
      <w:r w:rsidRPr="00641103">
        <w:rPr>
          <w:rFonts w:ascii="Arial" w:hAnsi="Arial" w:cs="Arial"/>
          <w:sz w:val="22"/>
        </w:rPr>
        <w:t xml:space="preserve">, the State Treasurer is the custodian and administrator of the other postemployment benefits funds. The State Treasurer maintains various investment portfolios in its External Investment Pool. The Retiree Health Benefit Fund participates in the External Investment Pool. The Disability Income Plan of North Carolina is invested in the Short-Term Investment Portfolio of the External Investment Pool and the Bond Index External Investment Pool. The investment balance of each other employee benefit trust fund represents its share of the fair value of the net position of the various portfolios within the pool. Detailed descriptions of the methods and significant assumptions regarding </w:t>
      </w:r>
      <w:r w:rsidRPr="00A01FD0">
        <w:rPr>
          <w:rFonts w:ascii="Arial" w:hAnsi="Arial" w:cs="Arial"/>
          <w:sz w:val="22"/>
        </w:rPr>
        <w:t>investments of the State Treasurer are provided in the 202</w:t>
      </w:r>
      <w:r>
        <w:rPr>
          <w:rFonts w:ascii="Arial" w:hAnsi="Arial" w:cs="Arial"/>
          <w:sz w:val="22"/>
        </w:rPr>
        <w:t>1</w:t>
      </w:r>
      <w:r w:rsidRPr="00A01FD0">
        <w:rPr>
          <w:rFonts w:ascii="Arial" w:hAnsi="Arial" w:cs="Arial"/>
          <w:sz w:val="22"/>
        </w:rPr>
        <w:t xml:space="preserve"> </w:t>
      </w:r>
      <w:r w:rsidRPr="00EA2F2C">
        <w:rPr>
          <w:rFonts w:ascii="Arial" w:hAnsi="Arial" w:cs="Arial"/>
          <w:i/>
          <w:sz w:val="22"/>
          <w:szCs w:val="22"/>
          <w:highlight w:val="yellow"/>
        </w:rPr>
        <w:t>Annual Comprehensive</w:t>
      </w:r>
      <w:r w:rsidRPr="007E4287">
        <w:rPr>
          <w:rFonts w:ascii="Arial" w:hAnsi="Arial" w:cs="Arial"/>
          <w:i/>
        </w:rPr>
        <w:t xml:space="preserve"> </w:t>
      </w:r>
      <w:r w:rsidRPr="00A01FD0">
        <w:rPr>
          <w:rFonts w:ascii="Arial" w:hAnsi="Arial" w:cs="Arial"/>
          <w:i/>
          <w:sz w:val="22"/>
        </w:rPr>
        <w:t>Financial Report.</w:t>
      </w:r>
    </w:p>
    <w:p w14:paraId="5FA531E6" w14:textId="77777777" w:rsidR="005558B6" w:rsidRPr="00641103" w:rsidRDefault="005558B6" w:rsidP="00A66832">
      <w:pPr>
        <w:pStyle w:val="Note10"/>
        <w:numPr>
          <w:ilvl w:val="0"/>
          <w:numId w:val="32"/>
        </w:numPr>
        <w:tabs>
          <w:tab w:val="clear" w:pos="1080"/>
        </w:tabs>
        <w:spacing w:before="0"/>
        <w:ind w:left="360"/>
        <w:jc w:val="both"/>
        <w:rPr>
          <w:rFonts w:ascii="Arial Bold" w:hAnsi="Arial Bold" w:cs="Arial"/>
          <w:smallCaps w:val="0"/>
          <w:sz w:val="22"/>
          <w:szCs w:val="22"/>
        </w:rPr>
      </w:pPr>
      <w:r w:rsidRPr="00641103">
        <w:rPr>
          <w:rFonts w:ascii="Arial Bold" w:hAnsi="Arial Bold" w:cs="Arial"/>
          <w:smallCaps w:val="0"/>
          <w:sz w:val="22"/>
          <w:szCs w:val="22"/>
        </w:rPr>
        <w:t>Plan Descriptions</w:t>
      </w:r>
    </w:p>
    <w:p w14:paraId="5F783DA3" w14:textId="77777777" w:rsidR="005558B6" w:rsidRPr="00641103" w:rsidRDefault="005558B6" w:rsidP="00A66832">
      <w:pPr>
        <w:pStyle w:val="Note10"/>
        <w:numPr>
          <w:ilvl w:val="0"/>
          <w:numId w:val="33"/>
        </w:numPr>
        <w:tabs>
          <w:tab w:val="clear" w:pos="1080"/>
          <w:tab w:val="clear" w:pos="1440"/>
          <w:tab w:val="left" w:pos="1800"/>
        </w:tabs>
        <w:spacing w:before="0"/>
        <w:ind w:left="720"/>
        <w:jc w:val="both"/>
        <w:rPr>
          <w:rFonts w:ascii="Arial Bold" w:hAnsi="Arial Bold" w:cs="Arial"/>
          <w:smallCaps w:val="0"/>
          <w:sz w:val="22"/>
          <w:szCs w:val="22"/>
        </w:rPr>
      </w:pPr>
      <w:r w:rsidRPr="00641103">
        <w:rPr>
          <w:rFonts w:ascii="Arial Bold" w:hAnsi="Arial Bold" w:cs="Arial"/>
          <w:smallCaps w:val="0"/>
          <w:sz w:val="22"/>
          <w:szCs w:val="22"/>
        </w:rPr>
        <w:t>Health Benefits</w:t>
      </w:r>
    </w:p>
    <w:p w14:paraId="22E18470" w14:textId="77777777"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i/>
          <w:smallCaps w:val="0"/>
          <w:sz w:val="22"/>
          <w:szCs w:val="22"/>
        </w:rPr>
        <w:t>Plan Administration:</w:t>
      </w:r>
      <w:r w:rsidRPr="00641103">
        <w:rPr>
          <w:rFonts w:ascii="Arial" w:hAnsi="Arial" w:cs="Arial"/>
          <w:b w:val="0"/>
          <w:smallCaps w:val="0"/>
          <w:sz w:val="22"/>
          <w:szCs w:val="22"/>
        </w:rPr>
        <w:t xml:space="preserve"> The State of North Carolina administers the North Carolina State Health Plan for Teachers and State Employees, referred to as the State Health Plan (the Plan), a healthcare plan exclusively for the benefit of employees of the State, the University of North Carolina System, community colleges, and certain other component units. In addition, Local Education Agencies (LEAs), charter schools, and some select local governments that are not part of the State’s financial reporting entity also participate. Health benefit programs and premium rates are determined by the State Treasurer upon approval of the Plan Board of Trustees. </w:t>
      </w:r>
    </w:p>
    <w:p w14:paraId="40A27795" w14:textId="4D39082D"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 xml:space="preserve">The Retiree Health Benefit Fund (RHBF) has been established </w:t>
      </w:r>
      <w:r w:rsidR="00436481" w:rsidRPr="00352820">
        <w:rPr>
          <w:rFonts w:ascii="Arial" w:hAnsi="Arial" w:cs="Arial"/>
          <w:b w:val="0"/>
          <w:smallCaps w:val="0"/>
          <w:sz w:val="22"/>
          <w:szCs w:val="22"/>
          <w:highlight w:val="yellow"/>
        </w:rPr>
        <w:t>by Chapter 135-7, Article 1 of the General Statutes</w:t>
      </w:r>
      <w:r w:rsidR="00436481">
        <w:rPr>
          <w:rFonts w:ascii="Arial" w:hAnsi="Arial" w:cs="Arial"/>
          <w:b w:val="0"/>
          <w:smallCaps w:val="0"/>
          <w:sz w:val="22"/>
          <w:szCs w:val="22"/>
        </w:rPr>
        <w:t xml:space="preserve"> </w:t>
      </w:r>
      <w:r w:rsidRPr="00641103">
        <w:rPr>
          <w:rFonts w:ascii="Arial" w:hAnsi="Arial" w:cs="Arial"/>
          <w:b w:val="0"/>
          <w:smallCaps w:val="0"/>
          <w:sz w:val="22"/>
          <w:szCs w:val="22"/>
        </w:rPr>
        <w:t xml:space="preserve">as a fund to provide health benefits to retired and disabled employees and their applicable beneficiaries. RHBF is a cost-sharing, </w:t>
      </w:r>
      <w:r w:rsidRPr="00641103">
        <w:rPr>
          <w:rFonts w:ascii="Arial" w:hAnsi="Arial" w:cs="Arial"/>
          <w:b w:val="0"/>
          <w:smallCaps w:val="0"/>
          <w:sz w:val="22"/>
          <w:szCs w:val="22"/>
        </w:rPr>
        <w:lastRenderedPageBreak/>
        <w:t xml:space="preserve">multiple-employer, defined benefit healthcare plan, exclusively for the benefit of eligible former employees of the State, the University of North Carolina System, and community colleges. In addition, LEAs, charter schools, and some select local governments that are not part of the State’s financial reporting entity also participate. </w:t>
      </w:r>
    </w:p>
    <w:p w14:paraId="33D26021" w14:textId="77777777"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 xml:space="preserve">By statute, RHBF is administered by the Board of Trustees of the Teachers’ and State Employees’ Retirement System (TSERS). RHBF is supported by a percent of payroll contribution from participating employing units. Each year the percentage is set in legislation, as are the maximum per retiree contributions from RHBF to the Plan. The State Treasurer, with the approval of the Plan Board of Trustees, then sets the employer contributions (subject to the legislative cap) and the premiums to be paid by retirees, as well as the health benefits to be provided through the Plan. </w:t>
      </w:r>
    </w:p>
    <w:p w14:paraId="28BE9307" w14:textId="4694D479"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i/>
          <w:smallCaps w:val="0"/>
          <w:sz w:val="22"/>
          <w:szCs w:val="22"/>
        </w:rPr>
        <w:t>Benefits Provided:</w:t>
      </w:r>
      <w:r w:rsidRPr="00641103">
        <w:rPr>
          <w:rFonts w:ascii="Arial" w:hAnsi="Arial" w:cs="Arial"/>
          <w:b w:val="0"/>
          <w:smallCaps w:val="0"/>
          <w:sz w:val="22"/>
          <w:szCs w:val="22"/>
        </w:rPr>
        <w:t xml:space="preserve"> Plan benefits received by retired employees and disabled employees from RHBF are OPEB. The healthcare benefits for retired and disabled employees who are not eligible for Medicare are the same as for active employees as described in Note </w:t>
      </w:r>
      <w:r w:rsidRPr="00F34E2E">
        <w:rPr>
          <w:rFonts w:ascii="Arial" w:hAnsi="Arial" w:cs="Arial"/>
          <w:smallCaps w:val="0"/>
          <w:color w:val="0000FF"/>
          <w:sz w:val="22"/>
          <w:szCs w:val="22"/>
          <w:highlight w:val="yellow"/>
        </w:rPr>
        <w:t>XX</w:t>
      </w:r>
      <w:r w:rsidRPr="00641103">
        <w:rPr>
          <w:rFonts w:ascii="Arial" w:hAnsi="Arial" w:cs="Arial"/>
          <w:b w:val="0"/>
          <w:smallCaps w:val="0"/>
          <w:sz w:val="22"/>
          <w:szCs w:val="22"/>
        </w:rPr>
        <w:t xml:space="preserve">. The plan options change when former employees become eligible for Medicare. </w:t>
      </w:r>
      <w:r w:rsidR="00436481" w:rsidRPr="00616927">
        <w:rPr>
          <w:rFonts w:ascii="Arial" w:hAnsi="Arial" w:cs="Arial"/>
          <w:b w:val="0"/>
          <w:smallCaps w:val="0"/>
          <w:sz w:val="22"/>
          <w:szCs w:val="22"/>
          <w:highlight w:val="yellow"/>
        </w:rPr>
        <w:t>The benefits provided include medical and pharmacy coverage for employees and their dependents. Non-Medicare eligible members have two self-funded options administered by the State Health Plan while Medicare members have three options, including one self-funded option and two fully-insured Medicare Advantage/Prescription Drug Plan options. Self-funded medical and pharmacy claims costs are shared between the covered member and the State Health Plan. If the self-funded plan is elected by a Medicare eligible member, the coverage is secondary to Medicare. Fully-insured claims include cost sharing from covered members with the remaining balance paid by the fully-insured carrier.</w:t>
      </w:r>
      <w:r w:rsidR="00436481">
        <w:rPr>
          <w:rFonts w:ascii="Arial" w:hAnsi="Arial" w:cs="Arial"/>
          <w:b w:val="0"/>
          <w:smallCaps w:val="0"/>
          <w:sz w:val="22"/>
          <w:szCs w:val="22"/>
        </w:rPr>
        <w:t xml:space="preserve">  </w:t>
      </w:r>
    </w:p>
    <w:p w14:paraId="321B407F" w14:textId="564C4C0F" w:rsidR="005558B6" w:rsidRPr="00EA3FBC"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 xml:space="preserve">Those former employees who are eligible to receive medical benefits from RHBF are long-term disability beneficiaries of the Disability Income Plan of North Carolina and retirees of TSERS, the Consolidated Judicial Retirement System, the Legislative Retirement System, the </w:t>
      </w:r>
      <w:r w:rsidR="00436481" w:rsidRPr="00436481">
        <w:rPr>
          <w:rFonts w:ascii="Arial" w:hAnsi="Arial" w:cs="Arial"/>
          <w:b w:val="0"/>
          <w:smallCaps w:val="0"/>
          <w:sz w:val="22"/>
          <w:szCs w:val="22"/>
          <w:highlight w:val="yellow"/>
        </w:rPr>
        <w:t>University Employees’</w:t>
      </w:r>
      <w:r w:rsidR="00436481">
        <w:rPr>
          <w:rFonts w:ascii="Arial" w:hAnsi="Arial" w:cs="Arial"/>
          <w:b w:val="0"/>
          <w:smallCaps w:val="0"/>
          <w:sz w:val="22"/>
          <w:szCs w:val="22"/>
        </w:rPr>
        <w:t xml:space="preserve"> </w:t>
      </w:r>
      <w:r w:rsidRPr="00641103">
        <w:rPr>
          <w:rFonts w:ascii="Arial" w:hAnsi="Arial" w:cs="Arial"/>
          <w:b w:val="0"/>
          <w:smallCaps w:val="0"/>
          <w:sz w:val="22"/>
          <w:szCs w:val="22"/>
        </w:rPr>
        <w:t xml:space="preserve">Optional Retirement Program (ORP), and a small number of local governments, with five or more years of contributory membership service in their retirement </w:t>
      </w:r>
      <w:r w:rsidRPr="00151684">
        <w:rPr>
          <w:rFonts w:ascii="Arial" w:hAnsi="Arial" w:cs="Arial"/>
          <w:b w:val="0"/>
          <w:smallCaps w:val="0"/>
          <w:sz w:val="22"/>
          <w:szCs w:val="22"/>
        </w:rPr>
        <w:t xml:space="preserve">system prior to disability or retirement, with the following exceptions: for employees first hired on or after October 1, 2006, and members of the </w:t>
      </w:r>
      <w:r w:rsidRPr="00F34E2E">
        <w:rPr>
          <w:rFonts w:ascii="Arial" w:hAnsi="Arial" w:cs="Arial"/>
          <w:b w:val="0"/>
          <w:smallCaps w:val="0"/>
          <w:sz w:val="22"/>
          <w:szCs w:val="22"/>
        </w:rPr>
        <w:t>North Carolina</w:t>
      </w:r>
      <w:r w:rsidRPr="00151684">
        <w:rPr>
          <w:rFonts w:ascii="Arial" w:hAnsi="Arial" w:cs="Arial"/>
          <w:b w:val="0"/>
          <w:smallCaps w:val="0"/>
          <w:sz w:val="22"/>
          <w:szCs w:val="22"/>
        </w:rPr>
        <w:t xml:space="preserve"> General Assembly first taking office on or after February 1, 2007, future coverage as retired employees and retired members of the </w:t>
      </w:r>
      <w:r w:rsidRPr="00F34E2E">
        <w:rPr>
          <w:rFonts w:ascii="Arial" w:hAnsi="Arial" w:cs="Arial"/>
          <w:b w:val="0"/>
          <w:smallCaps w:val="0"/>
          <w:sz w:val="22"/>
          <w:szCs w:val="22"/>
        </w:rPr>
        <w:t>North Carolina</w:t>
      </w:r>
      <w:r w:rsidRPr="00151684">
        <w:rPr>
          <w:rFonts w:ascii="Arial" w:hAnsi="Arial" w:cs="Arial"/>
          <w:b w:val="0"/>
          <w:smallCaps w:val="0"/>
          <w:sz w:val="22"/>
          <w:szCs w:val="22"/>
        </w:rPr>
        <w:t xml:space="preserve"> General Assembly is subject to the requirement that the future retiree have 20 or more years of retirement service credit in order to receive coverage on a noncontributory basis. Employees first hired on or after October 1, 2006 and members of the </w:t>
      </w:r>
      <w:r w:rsidRPr="00F34E2E">
        <w:rPr>
          <w:rFonts w:ascii="Arial" w:hAnsi="Arial" w:cs="Arial"/>
          <w:b w:val="0"/>
          <w:smallCaps w:val="0"/>
          <w:sz w:val="22"/>
          <w:szCs w:val="22"/>
        </w:rPr>
        <w:t>North Carolina</w:t>
      </w:r>
      <w:r w:rsidRPr="00151684">
        <w:rPr>
          <w:rFonts w:ascii="Arial" w:hAnsi="Arial" w:cs="Arial"/>
          <w:b w:val="0"/>
          <w:smallCaps w:val="0"/>
          <w:sz w:val="22"/>
          <w:szCs w:val="22"/>
        </w:rPr>
        <w:t xml:space="preserve"> General Assembly first taking office on or after February</w:t>
      </w:r>
      <w:r w:rsidRPr="00641103">
        <w:rPr>
          <w:rFonts w:ascii="Arial" w:hAnsi="Arial" w:cs="Arial"/>
          <w:b w:val="0"/>
          <w:smallCaps w:val="0"/>
          <w:sz w:val="22"/>
          <w:szCs w:val="22"/>
        </w:rPr>
        <w:t xml:space="preserve"> 1, 2007 with 10 but less than 20 years of retirement service credit are eligible for coverage on a partially contributory basis. For such future retirees, the State will pay 50% of the State Health Plan’s </w:t>
      </w:r>
      <w:r w:rsidRPr="00EA3FBC">
        <w:rPr>
          <w:rFonts w:ascii="Arial" w:hAnsi="Arial" w:cs="Arial"/>
          <w:b w:val="0"/>
          <w:smallCaps w:val="0"/>
          <w:sz w:val="22"/>
          <w:szCs w:val="22"/>
        </w:rPr>
        <w:t>total noncontributory premium.</w:t>
      </w:r>
      <w:r w:rsidR="002064DA">
        <w:rPr>
          <w:rFonts w:ascii="Arial" w:hAnsi="Arial" w:cs="Arial"/>
          <w:b w:val="0"/>
          <w:smallCaps w:val="0"/>
          <w:sz w:val="22"/>
          <w:szCs w:val="22"/>
        </w:rPr>
        <w:t xml:space="preserve"> </w:t>
      </w:r>
      <w:r w:rsidR="002064DA" w:rsidRPr="002064DA">
        <w:rPr>
          <w:rFonts w:ascii="Arial" w:hAnsi="Arial" w:cs="Arial"/>
          <w:b w:val="0"/>
          <w:smallCaps w:val="0"/>
          <w:sz w:val="22"/>
          <w:szCs w:val="22"/>
          <w:highlight w:val="yellow"/>
        </w:rPr>
        <w:t>Employees first hired on or after October 1, 2006 and members of the North Carolina General Assembly first taking office on or after February 1, 2007 with five but less than 10 years of retirement service credit are eligible for coverage on a fully contributory basis.</w:t>
      </w:r>
    </w:p>
    <w:p w14:paraId="5A861084" w14:textId="77777777" w:rsidR="005558B6" w:rsidRDefault="005558B6" w:rsidP="00A66832">
      <w:pPr>
        <w:pStyle w:val="Note10"/>
        <w:tabs>
          <w:tab w:val="clear" w:pos="1080"/>
        </w:tabs>
        <w:spacing w:before="0"/>
        <w:ind w:left="720"/>
        <w:jc w:val="both"/>
        <w:rPr>
          <w:rFonts w:ascii="Arial" w:hAnsi="Arial" w:cs="Arial"/>
          <w:b w:val="0"/>
          <w:smallCaps w:val="0"/>
          <w:sz w:val="22"/>
          <w:szCs w:val="22"/>
        </w:rPr>
      </w:pPr>
      <w:r w:rsidRPr="00EA3FBC">
        <w:rPr>
          <w:rFonts w:ascii="Arial" w:hAnsi="Arial" w:cs="Arial"/>
          <w:b w:val="0"/>
          <w:smallCaps w:val="0"/>
          <w:sz w:val="22"/>
          <w:szCs w:val="22"/>
        </w:rPr>
        <w:t xml:space="preserve">Section 35.21 (c) &amp; (d) of Session Law 2017-57 repeals retiree medical benefits for employees first hired on or after January 1, 2021. The legislation amends Article 3B of Chapter 135 of the General Statutes to require that retirees must earn contributory retirement service in the Teachers’ and State Employees’ Retirement System (or in an </w:t>
      </w:r>
      <w:r w:rsidRPr="00EA3FBC">
        <w:rPr>
          <w:rFonts w:ascii="Arial" w:hAnsi="Arial" w:cs="Arial"/>
          <w:b w:val="0"/>
          <w:smallCaps w:val="0"/>
          <w:sz w:val="22"/>
          <w:szCs w:val="22"/>
        </w:rPr>
        <w:lastRenderedPageBreak/>
        <w:t>allowed local system unit), the Consolidated Judicial Retirement System, or the Legislative Retirement System prior to January 1, 2021, and not withdraw that service, in order to be eligible for retiree medical benefits under the amended law. Consequently, members first hired on and after January 1, 2021 will not be eligible to receive retiree medical benefits.</w:t>
      </w:r>
      <w:r>
        <w:rPr>
          <w:rFonts w:ascii="Arial" w:hAnsi="Arial" w:cs="Arial"/>
          <w:b w:val="0"/>
          <w:smallCaps w:val="0"/>
          <w:sz w:val="22"/>
          <w:szCs w:val="22"/>
        </w:rPr>
        <w:t xml:space="preserve"> </w:t>
      </w:r>
    </w:p>
    <w:p w14:paraId="643483A0" w14:textId="5125FE79"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 xml:space="preserve">RHBF’s benefit and contribution provisions are established by Chapter 135-7, </w:t>
      </w:r>
      <w:r w:rsidR="00066B0F">
        <w:rPr>
          <w:rFonts w:ascii="Arial" w:hAnsi="Arial" w:cs="Arial"/>
          <w:b w:val="0"/>
          <w:smallCaps w:val="0"/>
          <w:sz w:val="22"/>
          <w:szCs w:val="22"/>
        </w:rPr>
        <w:br/>
      </w:r>
      <w:r w:rsidRPr="00641103">
        <w:rPr>
          <w:rFonts w:ascii="Arial" w:hAnsi="Arial" w:cs="Arial"/>
          <w:b w:val="0"/>
          <w:smallCaps w:val="0"/>
          <w:sz w:val="22"/>
          <w:szCs w:val="22"/>
        </w:rPr>
        <w:t xml:space="preserve">Article 1, and Chapter 135, Article 3B of the General Statutes and may be amended only by the North Carolina General Assembly. RHBF does not provide for automatic post-retirement benefit increases. </w:t>
      </w:r>
    </w:p>
    <w:p w14:paraId="4DAA6BA3" w14:textId="77777777" w:rsidR="005558B6"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i/>
          <w:smallCaps w:val="0"/>
          <w:sz w:val="22"/>
          <w:szCs w:val="22"/>
        </w:rPr>
        <w:t>Contributions:</w:t>
      </w:r>
      <w:r w:rsidRPr="00641103">
        <w:rPr>
          <w:rFonts w:ascii="Arial" w:hAnsi="Arial" w:cs="Arial"/>
          <w:b w:val="0"/>
          <w:smallCaps w:val="0"/>
          <w:sz w:val="22"/>
          <w:szCs w:val="22"/>
        </w:rPr>
        <w:t xml:space="preserve"> Contribution rates to RHBF, which are intended to finance benefits and administrative expenses on a pay-as-you-go basis, are determined b</w:t>
      </w:r>
      <w:r w:rsidRPr="00151684">
        <w:rPr>
          <w:rFonts w:ascii="Arial" w:hAnsi="Arial" w:cs="Arial"/>
          <w:b w:val="0"/>
          <w:smallCaps w:val="0"/>
          <w:sz w:val="22"/>
          <w:szCs w:val="22"/>
        </w:rPr>
        <w:t xml:space="preserve">y the </w:t>
      </w:r>
      <w:r w:rsidRPr="00F34E2E">
        <w:rPr>
          <w:rFonts w:ascii="Arial" w:hAnsi="Arial" w:cs="Arial"/>
          <w:b w:val="0"/>
          <w:smallCaps w:val="0"/>
          <w:sz w:val="22"/>
          <w:szCs w:val="22"/>
        </w:rPr>
        <w:t>North Carolina</w:t>
      </w:r>
      <w:r>
        <w:rPr>
          <w:rFonts w:ascii="Arial" w:hAnsi="Arial" w:cs="Arial"/>
          <w:b w:val="0"/>
          <w:smallCaps w:val="0"/>
          <w:sz w:val="22"/>
          <w:szCs w:val="22"/>
        </w:rPr>
        <w:t xml:space="preserve"> </w:t>
      </w:r>
      <w:r w:rsidRPr="00641103">
        <w:rPr>
          <w:rFonts w:ascii="Arial" w:hAnsi="Arial" w:cs="Arial"/>
          <w:b w:val="0"/>
          <w:smallCaps w:val="0"/>
          <w:sz w:val="22"/>
          <w:szCs w:val="22"/>
        </w:rPr>
        <w:t xml:space="preserve">General Assembly in the Appropriations Bill. The College’s contractually-required contribution rate for the year ended June 30, </w:t>
      </w:r>
      <w:r>
        <w:rPr>
          <w:rFonts w:ascii="Arial" w:hAnsi="Arial" w:cs="Arial"/>
          <w:b w:val="0"/>
          <w:smallCaps w:val="0"/>
          <w:sz w:val="22"/>
          <w:szCs w:val="22"/>
        </w:rPr>
        <w:t>2022</w:t>
      </w:r>
      <w:r w:rsidRPr="00641103">
        <w:rPr>
          <w:rFonts w:ascii="Arial" w:hAnsi="Arial" w:cs="Arial"/>
          <w:b w:val="0"/>
          <w:smallCaps w:val="0"/>
          <w:sz w:val="22"/>
          <w:szCs w:val="22"/>
        </w:rPr>
        <w:t xml:space="preserve"> was </w:t>
      </w:r>
      <w:r w:rsidRPr="00D21499">
        <w:rPr>
          <w:rFonts w:ascii="Arial" w:hAnsi="Arial" w:cs="Arial"/>
          <w:b w:val="0"/>
          <w:smallCaps w:val="0"/>
          <w:sz w:val="22"/>
          <w:szCs w:val="22"/>
          <w:highlight w:val="yellow"/>
        </w:rPr>
        <w:t>6.</w:t>
      </w:r>
      <w:r>
        <w:rPr>
          <w:rFonts w:ascii="Arial" w:hAnsi="Arial" w:cs="Arial"/>
          <w:b w:val="0"/>
          <w:smallCaps w:val="0"/>
          <w:sz w:val="22"/>
          <w:szCs w:val="22"/>
          <w:highlight w:val="yellow"/>
        </w:rPr>
        <w:t>29</w:t>
      </w:r>
      <w:r w:rsidRPr="00D21499">
        <w:rPr>
          <w:rFonts w:ascii="Arial" w:hAnsi="Arial" w:cs="Arial"/>
          <w:b w:val="0"/>
          <w:smallCaps w:val="0"/>
          <w:sz w:val="22"/>
          <w:szCs w:val="22"/>
          <w:highlight w:val="yellow"/>
        </w:rPr>
        <w:t>%</w:t>
      </w:r>
      <w:r w:rsidRPr="00641103">
        <w:rPr>
          <w:rFonts w:ascii="Arial" w:hAnsi="Arial" w:cs="Arial"/>
          <w:b w:val="0"/>
          <w:smallCaps w:val="0"/>
          <w:sz w:val="22"/>
          <w:szCs w:val="22"/>
        </w:rPr>
        <w:t xml:space="preserve"> of covered payroll. The College’s contributions to the RHBF were $______ for the year ended June 30, </w:t>
      </w:r>
      <w:r>
        <w:rPr>
          <w:rFonts w:ascii="Arial" w:hAnsi="Arial" w:cs="Arial"/>
          <w:b w:val="0"/>
          <w:smallCaps w:val="0"/>
          <w:sz w:val="22"/>
          <w:szCs w:val="22"/>
        </w:rPr>
        <w:t>2022</w:t>
      </w:r>
      <w:r w:rsidRPr="00641103">
        <w:rPr>
          <w:rFonts w:ascii="Arial" w:hAnsi="Arial" w:cs="Arial"/>
          <w:b w:val="0"/>
          <w:smallCaps w:val="0"/>
          <w:sz w:val="22"/>
          <w:szCs w:val="22"/>
        </w:rPr>
        <w:t xml:space="preserve">. </w:t>
      </w:r>
    </w:p>
    <w:p w14:paraId="1DF0363E" w14:textId="34A18F09" w:rsidR="005558B6" w:rsidRPr="004C4CD3" w:rsidRDefault="005558B6" w:rsidP="00A66832">
      <w:pPr>
        <w:pStyle w:val="Note10"/>
        <w:tabs>
          <w:tab w:val="clear" w:pos="1080"/>
        </w:tabs>
        <w:spacing w:before="0"/>
        <w:ind w:left="720"/>
        <w:jc w:val="both"/>
        <w:rPr>
          <w:rFonts w:ascii="Arial" w:hAnsi="Arial" w:cs="Arial"/>
          <w:b w:val="0"/>
          <w:smallCaps w:val="0"/>
          <w:sz w:val="22"/>
          <w:szCs w:val="22"/>
        </w:rPr>
      </w:pPr>
      <w:bookmarkStart w:id="325" w:name="_Hlk92204705"/>
      <w:r w:rsidRPr="00643A19">
        <w:rPr>
          <w:rFonts w:ascii="Arial" w:hAnsi="Arial" w:cs="Arial"/>
          <w:b w:val="0"/>
          <w:smallCaps w:val="0"/>
          <w:sz w:val="22"/>
          <w:szCs w:val="22"/>
        </w:rPr>
        <w:t>In fiscal year 202</w:t>
      </w:r>
      <w:r w:rsidR="00643A19" w:rsidRPr="00643A19">
        <w:rPr>
          <w:rFonts w:ascii="Arial" w:hAnsi="Arial" w:cs="Arial"/>
          <w:b w:val="0"/>
          <w:smallCaps w:val="0"/>
          <w:sz w:val="22"/>
          <w:szCs w:val="22"/>
        </w:rPr>
        <w:t>1</w:t>
      </w:r>
      <w:r w:rsidRPr="00643A19">
        <w:rPr>
          <w:rFonts w:ascii="Arial" w:hAnsi="Arial" w:cs="Arial"/>
          <w:b w:val="0"/>
          <w:smallCaps w:val="0"/>
          <w:sz w:val="22"/>
          <w:szCs w:val="22"/>
        </w:rPr>
        <w:t xml:space="preserve">, the State Health Plan (the Plan) transferred </w:t>
      </w:r>
      <w:r w:rsidRPr="007D465A">
        <w:rPr>
          <w:rFonts w:ascii="Arial" w:hAnsi="Arial" w:cs="Arial"/>
          <w:b w:val="0"/>
          <w:smallCaps w:val="0"/>
          <w:sz w:val="22"/>
          <w:szCs w:val="22"/>
          <w:highlight w:val="yellow"/>
        </w:rPr>
        <w:t>$</w:t>
      </w:r>
      <w:r w:rsidR="00643A19">
        <w:rPr>
          <w:rFonts w:ascii="Arial" w:hAnsi="Arial" w:cs="Arial"/>
          <w:b w:val="0"/>
          <w:smallCaps w:val="0"/>
          <w:sz w:val="22"/>
          <w:szCs w:val="22"/>
          <w:highlight w:val="yellow"/>
        </w:rPr>
        <w:t>187.0</w:t>
      </w:r>
      <w:r w:rsidRPr="007D465A">
        <w:rPr>
          <w:rFonts w:ascii="Arial" w:hAnsi="Arial" w:cs="Arial"/>
          <w:b w:val="0"/>
          <w:smallCaps w:val="0"/>
          <w:sz w:val="22"/>
          <w:szCs w:val="22"/>
          <w:highlight w:val="yellow"/>
        </w:rPr>
        <w:t xml:space="preserve"> </w:t>
      </w:r>
      <w:r w:rsidRPr="00643A19">
        <w:rPr>
          <w:rFonts w:ascii="Arial" w:hAnsi="Arial" w:cs="Arial"/>
          <w:b w:val="0"/>
          <w:smallCaps w:val="0"/>
          <w:sz w:val="22"/>
          <w:szCs w:val="22"/>
        </w:rPr>
        <w:t>million to RHBF as a result of cost savings to the Plan over a span of six years. For financial reporting purposes, the transfer was recognized as a nonemployer contributing entity contribution. The contribution was allocated among RHBF employers and recorded as noncapital contributions. For the fiscal year ended June 30, 202</w:t>
      </w:r>
      <w:r w:rsidR="00325729" w:rsidRPr="00643A19">
        <w:rPr>
          <w:rFonts w:ascii="Arial" w:hAnsi="Arial" w:cs="Arial"/>
          <w:b w:val="0"/>
          <w:smallCaps w:val="0"/>
          <w:sz w:val="22"/>
          <w:szCs w:val="22"/>
        </w:rPr>
        <w:t>2</w:t>
      </w:r>
      <w:r w:rsidRPr="00643A19">
        <w:rPr>
          <w:rFonts w:ascii="Arial" w:hAnsi="Arial" w:cs="Arial"/>
          <w:b w:val="0"/>
          <w:smallCaps w:val="0"/>
          <w:sz w:val="22"/>
          <w:szCs w:val="22"/>
        </w:rPr>
        <w:t>, the College recognized noncapital contributions for RHBF of $________.</w:t>
      </w:r>
    </w:p>
    <w:bookmarkEnd w:id="325"/>
    <w:p w14:paraId="235D9CD3" w14:textId="77777777" w:rsidR="005558B6" w:rsidRPr="00641103" w:rsidRDefault="005558B6" w:rsidP="00A66832">
      <w:pPr>
        <w:pStyle w:val="Note10"/>
        <w:numPr>
          <w:ilvl w:val="0"/>
          <w:numId w:val="33"/>
        </w:numPr>
        <w:tabs>
          <w:tab w:val="clear" w:pos="1080"/>
        </w:tabs>
        <w:spacing w:before="0"/>
        <w:ind w:left="720"/>
        <w:jc w:val="both"/>
        <w:rPr>
          <w:rFonts w:ascii="Arial" w:hAnsi="Arial" w:cs="Arial"/>
          <w:b w:val="0"/>
          <w:smallCaps w:val="0"/>
          <w:sz w:val="22"/>
          <w:szCs w:val="22"/>
        </w:rPr>
      </w:pPr>
      <w:r w:rsidRPr="00641103">
        <w:rPr>
          <w:rFonts w:ascii="Arial" w:hAnsi="Arial" w:cs="Arial"/>
          <w:smallCaps w:val="0"/>
          <w:sz w:val="22"/>
          <w:szCs w:val="22"/>
        </w:rPr>
        <w:t>Disability Income</w:t>
      </w:r>
    </w:p>
    <w:p w14:paraId="59561C3F" w14:textId="707E847D" w:rsidR="005558B6" w:rsidRPr="00641103" w:rsidRDefault="005558B6" w:rsidP="00066B0F">
      <w:pPr>
        <w:pStyle w:val="Note10"/>
        <w:tabs>
          <w:tab w:val="clear" w:pos="1080"/>
          <w:tab w:val="clear" w:pos="1440"/>
        </w:tabs>
        <w:spacing w:before="0"/>
        <w:ind w:left="720"/>
        <w:jc w:val="both"/>
        <w:rPr>
          <w:rFonts w:ascii="Arial" w:hAnsi="Arial" w:cs="Arial"/>
          <w:b w:val="0"/>
          <w:smallCaps w:val="0"/>
          <w:sz w:val="22"/>
          <w:szCs w:val="22"/>
        </w:rPr>
      </w:pPr>
      <w:r w:rsidRPr="00641103">
        <w:rPr>
          <w:rFonts w:ascii="Arial" w:hAnsi="Arial" w:cs="Arial"/>
          <w:b w:val="0"/>
          <w:i/>
          <w:smallCaps w:val="0"/>
          <w:sz w:val="22"/>
          <w:szCs w:val="22"/>
        </w:rPr>
        <w:t>Plan Administration:</w:t>
      </w:r>
      <w:r w:rsidRPr="00641103">
        <w:rPr>
          <w:rFonts w:ascii="Arial" w:hAnsi="Arial" w:cs="Arial"/>
          <w:b w:val="0"/>
          <w:smallCaps w:val="0"/>
          <w:sz w:val="22"/>
          <w:szCs w:val="22"/>
        </w:rPr>
        <w:t xml:space="preserve"> As discussed in Note </w:t>
      </w:r>
      <w:r w:rsidRPr="00D21499">
        <w:rPr>
          <w:rFonts w:ascii="Arial" w:hAnsi="Arial" w:cs="Arial"/>
          <w:smallCaps w:val="0"/>
          <w:color w:val="0000FF"/>
          <w:sz w:val="22"/>
          <w:szCs w:val="22"/>
        </w:rPr>
        <w:t>XX</w:t>
      </w:r>
      <w:r w:rsidRPr="00641103">
        <w:rPr>
          <w:rFonts w:ascii="Arial" w:hAnsi="Arial" w:cs="Arial"/>
          <w:b w:val="0"/>
          <w:smallCaps w:val="0"/>
          <w:sz w:val="22"/>
          <w:szCs w:val="22"/>
        </w:rPr>
        <w:t>, short-term and long-term disability benefits are provided through the Disability Income Plan of North Carolina (DIPNC), a cost-sharing, multiple-employer defined benefit plan, to the eligible members of TSERS which includes employees of the State, the University of North Carolina System, community colleges, certain participating component units</w:t>
      </w:r>
      <w:r w:rsidR="00436481">
        <w:rPr>
          <w:rFonts w:ascii="Arial" w:hAnsi="Arial" w:cs="Arial"/>
          <w:b w:val="0"/>
          <w:smallCaps w:val="0"/>
          <w:sz w:val="22"/>
          <w:szCs w:val="22"/>
        </w:rPr>
        <w:t xml:space="preserve"> </w:t>
      </w:r>
      <w:r w:rsidR="00436481" w:rsidRPr="00436481">
        <w:rPr>
          <w:rFonts w:ascii="Arial" w:hAnsi="Arial" w:cs="Arial"/>
          <w:b w:val="0"/>
          <w:smallCaps w:val="0"/>
          <w:sz w:val="22"/>
          <w:szCs w:val="22"/>
          <w:highlight w:val="yellow"/>
        </w:rPr>
        <w:t>and</w:t>
      </w:r>
      <w:r w:rsidRPr="00641103">
        <w:rPr>
          <w:rFonts w:ascii="Arial" w:hAnsi="Arial" w:cs="Arial"/>
          <w:b w:val="0"/>
          <w:smallCaps w:val="0"/>
          <w:sz w:val="22"/>
          <w:szCs w:val="22"/>
        </w:rPr>
        <w:t xml:space="preserve"> LEAs which are not part of the reporting entity, and the </w:t>
      </w:r>
      <w:r w:rsidR="00436481" w:rsidRPr="00436481">
        <w:rPr>
          <w:rFonts w:ascii="Arial" w:hAnsi="Arial" w:cs="Arial"/>
          <w:b w:val="0"/>
          <w:smallCaps w:val="0"/>
          <w:sz w:val="22"/>
          <w:szCs w:val="22"/>
          <w:highlight w:val="yellow"/>
        </w:rPr>
        <w:t>University Employees’</w:t>
      </w:r>
      <w:r w:rsidR="00436481">
        <w:rPr>
          <w:rFonts w:ascii="Arial" w:hAnsi="Arial" w:cs="Arial"/>
          <w:b w:val="0"/>
          <w:smallCaps w:val="0"/>
          <w:sz w:val="22"/>
          <w:szCs w:val="22"/>
        </w:rPr>
        <w:t xml:space="preserve"> </w:t>
      </w:r>
      <w:r w:rsidRPr="00641103">
        <w:rPr>
          <w:rFonts w:ascii="Arial" w:hAnsi="Arial" w:cs="Arial"/>
          <w:b w:val="0"/>
          <w:smallCaps w:val="0"/>
          <w:sz w:val="22"/>
          <w:szCs w:val="22"/>
        </w:rPr>
        <w:t>ORP. By statute, DIPNC is administered by the Department of State Treasurer and the Board of Trustees of TSERS.</w:t>
      </w:r>
    </w:p>
    <w:p w14:paraId="578695AC" w14:textId="4ACD4208" w:rsidR="005558B6" w:rsidRPr="00641103" w:rsidRDefault="005558B6" w:rsidP="00066B0F">
      <w:pPr>
        <w:pStyle w:val="Note10"/>
        <w:tabs>
          <w:tab w:val="clear" w:pos="1080"/>
          <w:tab w:val="clear" w:pos="1440"/>
        </w:tabs>
        <w:spacing w:before="0"/>
        <w:ind w:left="720"/>
        <w:jc w:val="both"/>
        <w:rPr>
          <w:rFonts w:ascii="Arial" w:hAnsi="Arial" w:cs="Arial"/>
          <w:b w:val="0"/>
          <w:smallCaps w:val="0"/>
          <w:sz w:val="22"/>
          <w:szCs w:val="22"/>
        </w:rPr>
      </w:pPr>
      <w:r w:rsidRPr="00641103">
        <w:rPr>
          <w:rFonts w:ascii="Arial" w:hAnsi="Arial" w:cs="Arial"/>
          <w:b w:val="0"/>
          <w:i/>
          <w:smallCaps w:val="0"/>
          <w:sz w:val="22"/>
          <w:szCs w:val="22"/>
        </w:rPr>
        <w:t>Benefits Provided:</w:t>
      </w:r>
      <w:r w:rsidRPr="00641103">
        <w:rPr>
          <w:rFonts w:ascii="Arial" w:hAnsi="Arial" w:cs="Arial"/>
          <w:b w:val="0"/>
          <w:smallCaps w:val="0"/>
          <w:sz w:val="22"/>
          <w:szCs w:val="22"/>
        </w:rPr>
        <w:t xml:space="preserve"> Long-term disability benefits are payable as an OPEB from DIPNC after the conclusion of the short-term disability period or after salary continuation payments cease, whichever is later, for as long as an employee is disabled. An employee is eligible to receive long-term disability benefits provided the following requirements are met: (1) the employee has five or more years of contributing membership service in TSERS or the</w:t>
      </w:r>
      <w:r w:rsidR="00436481">
        <w:rPr>
          <w:rFonts w:ascii="Arial" w:hAnsi="Arial" w:cs="Arial"/>
          <w:b w:val="0"/>
          <w:smallCaps w:val="0"/>
          <w:sz w:val="22"/>
          <w:szCs w:val="22"/>
        </w:rPr>
        <w:t xml:space="preserve"> </w:t>
      </w:r>
      <w:r w:rsidR="00436481" w:rsidRPr="00436481">
        <w:rPr>
          <w:rFonts w:ascii="Arial" w:hAnsi="Arial" w:cs="Arial"/>
          <w:b w:val="0"/>
          <w:smallCaps w:val="0"/>
          <w:sz w:val="22"/>
          <w:szCs w:val="22"/>
          <w:highlight w:val="yellow"/>
        </w:rPr>
        <w:t>University Employees’</w:t>
      </w:r>
      <w:r w:rsidRPr="00641103">
        <w:rPr>
          <w:rFonts w:ascii="Arial" w:hAnsi="Arial" w:cs="Arial"/>
          <w:b w:val="0"/>
          <w:smallCaps w:val="0"/>
          <w:sz w:val="22"/>
          <w:szCs w:val="22"/>
        </w:rPr>
        <w:t xml:space="preserve"> ORP, earned within 96 months prior to the end of the short-term disability period or cessation of salary continuation payments, whichever is later; (2) the employee must make application to receive long-term benefits within 180 days after the conclusion of the short-term disability period or after salary continuation payments cease or after monthly payments for Workers’ Compensation cease (excluding monthly payments for permanent partial benefits), whichever is later; (3) the employee must be certified by the Medical Board to be mentally or physically disabled for the further performance of his/her usual occupation; (4) the disability must have been continuous, likely to be permanent, and incurred at the time of active employment; (5) the employee must not be eligible to </w:t>
      </w:r>
      <w:r w:rsidRPr="00641103">
        <w:rPr>
          <w:rFonts w:ascii="Arial" w:hAnsi="Arial" w:cs="Arial"/>
          <w:b w:val="0"/>
          <w:smallCaps w:val="0"/>
          <w:sz w:val="22"/>
          <w:szCs w:val="22"/>
        </w:rPr>
        <w:lastRenderedPageBreak/>
        <w:t xml:space="preserve">receive an unreduced retirement benefit from TSERS; and (6) the employee must terminate employment as a permanent, full-time employee. An employee is eligible to receive an unreduced retirement benefit from TSERS after (1) reaching the age of 65 and completing five years of membership service, or (2) reaching the age of 60 and completing 25 years of creditable service, or (3) completing 30 years of creditable service, at any age. </w:t>
      </w:r>
    </w:p>
    <w:p w14:paraId="6128B9D4" w14:textId="4B159B63" w:rsidR="005558B6" w:rsidRPr="00641103" w:rsidRDefault="005558B6" w:rsidP="00066B0F">
      <w:pPr>
        <w:pStyle w:val="Note10"/>
        <w:tabs>
          <w:tab w:val="clear" w:pos="1080"/>
          <w:tab w:val="clear" w:pos="144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 xml:space="preserve">For employees who had five or more years of membership service as of July 31, 2007, during the first 36 months of the long-term disability period, the monthly long-term disability benefit is equal to 65% of one-twelfth of an employee’s annual base rate of compensation last payable to the participant or beneficiary prior to the beginning of the short-term disability period, plus the like percentage of one-twelfth of the annual longevity payment and local supplements to which the participant or beneficiary would be eligible. The monthly benefits are subject to a maximum of $3,900 per month reduced by any primary Social Security disability benefits and by monthly payments for Workers’ Compensation to which the participant or beneficiary may be entitled, but the benefits payable shall be no less than $10 a month. After the first 36 months of the long-term disability, the long-term benefit is calculated in the same manner as described above except the monthly benefit is reduced by an amount equal to a monthly primary Social Security disability benefit to which the participant or beneficiary might be entitled had Social Security disability benefits been awarded. When an employee qualifies for an unreduced service retirement allowance from TSERS, the benefits payable from DIPNC will cease, and the employee will commence retirement under TSERS or the </w:t>
      </w:r>
      <w:r w:rsidR="00436481" w:rsidRPr="00436481">
        <w:rPr>
          <w:rFonts w:ascii="Arial" w:hAnsi="Arial" w:cs="Arial"/>
          <w:b w:val="0"/>
          <w:smallCaps w:val="0"/>
          <w:sz w:val="22"/>
          <w:szCs w:val="22"/>
          <w:highlight w:val="yellow"/>
        </w:rPr>
        <w:t>University Employees’</w:t>
      </w:r>
      <w:r w:rsidR="00436481">
        <w:rPr>
          <w:rFonts w:ascii="Arial" w:hAnsi="Arial" w:cs="Arial"/>
          <w:b w:val="0"/>
          <w:smallCaps w:val="0"/>
          <w:sz w:val="22"/>
          <w:szCs w:val="22"/>
        </w:rPr>
        <w:t xml:space="preserve"> </w:t>
      </w:r>
      <w:r w:rsidRPr="00641103">
        <w:rPr>
          <w:rFonts w:ascii="Arial" w:hAnsi="Arial" w:cs="Arial"/>
          <w:b w:val="0"/>
          <w:smallCaps w:val="0"/>
          <w:sz w:val="22"/>
          <w:szCs w:val="22"/>
        </w:rPr>
        <w:t xml:space="preserve">ORP. </w:t>
      </w:r>
    </w:p>
    <w:p w14:paraId="726DEBC1" w14:textId="77777777" w:rsidR="005558B6" w:rsidRPr="00641103" w:rsidRDefault="005558B6" w:rsidP="00066B0F">
      <w:pPr>
        <w:pStyle w:val="Note10"/>
        <w:tabs>
          <w:tab w:val="clear" w:pos="1080"/>
          <w:tab w:val="clear" w:pos="144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 xml:space="preserve">For employees who had less than five years of membership service as of July 31, 2007, and meet the requirements for long-term disability on or after August 1, 2007, during the first 36 months of the long-term disability period, the monthly long-term benefit shall be reduced by an amount equal to the monthly primary Social Security retirement benefit to which the employee might be entitled should the employee become age 62 during the first 36 months. This reduction becomes effective as of the first day of the month following the month of initial entitlement to Social Security benefits. After the first 36 months of the long-term disability, no further benefits are payable under the terms of this section unless the employee has been approved and is in receipt of primary Social Security disability benefits. </w:t>
      </w:r>
    </w:p>
    <w:p w14:paraId="7DFA40F9" w14:textId="77777777" w:rsidR="005558B6" w:rsidRPr="00641103" w:rsidRDefault="005558B6" w:rsidP="00066B0F">
      <w:pPr>
        <w:pStyle w:val="Note10"/>
        <w:tabs>
          <w:tab w:val="clear" w:pos="1080"/>
          <w:tab w:val="clear" w:pos="1440"/>
        </w:tabs>
        <w:spacing w:before="0"/>
        <w:ind w:left="720"/>
        <w:jc w:val="both"/>
        <w:rPr>
          <w:rFonts w:ascii="Arial" w:hAnsi="Arial" w:cs="Arial"/>
          <w:b w:val="0"/>
          <w:smallCaps w:val="0"/>
          <w:sz w:val="22"/>
          <w:szCs w:val="22"/>
        </w:rPr>
      </w:pPr>
      <w:r w:rsidRPr="00641103">
        <w:rPr>
          <w:rFonts w:ascii="Arial" w:hAnsi="Arial" w:cs="Arial"/>
          <w:b w:val="0"/>
          <w:i/>
          <w:smallCaps w:val="0"/>
          <w:sz w:val="22"/>
          <w:szCs w:val="22"/>
        </w:rPr>
        <w:t>Contributions:</w:t>
      </w:r>
      <w:r w:rsidRPr="00641103">
        <w:rPr>
          <w:rFonts w:ascii="Arial" w:hAnsi="Arial" w:cs="Arial"/>
          <w:b w:val="0"/>
          <w:smallCaps w:val="0"/>
          <w:sz w:val="22"/>
          <w:szCs w:val="22"/>
        </w:rPr>
        <w:t xml:space="preserve"> Although DIPNC operates on a calendar year, disability income benefits are funded by actuarially determined employer contributions that are established in the Appropriations Bill by the </w:t>
      </w:r>
      <w:r>
        <w:rPr>
          <w:rFonts w:ascii="Arial" w:hAnsi="Arial" w:cs="Arial"/>
          <w:b w:val="0"/>
          <w:smallCaps w:val="0"/>
          <w:sz w:val="22"/>
          <w:szCs w:val="22"/>
        </w:rPr>
        <w:t xml:space="preserve">North Carolina </w:t>
      </w:r>
      <w:r w:rsidRPr="00641103">
        <w:rPr>
          <w:rFonts w:ascii="Arial" w:hAnsi="Arial" w:cs="Arial"/>
          <w:b w:val="0"/>
          <w:smallCaps w:val="0"/>
          <w:sz w:val="22"/>
          <w:szCs w:val="22"/>
        </w:rPr>
        <w:t xml:space="preserve">General Assembly and coincide with the State’s fiscal year. The College’s contractually-required contribution rate for the year ended June 30, </w:t>
      </w:r>
      <w:r>
        <w:rPr>
          <w:rFonts w:ascii="Arial" w:hAnsi="Arial" w:cs="Arial"/>
          <w:b w:val="0"/>
          <w:smallCaps w:val="0"/>
          <w:sz w:val="22"/>
          <w:szCs w:val="22"/>
        </w:rPr>
        <w:t>2022</w:t>
      </w:r>
      <w:r w:rsidRPr="00641103">
        <w:rPr>
          <w:rFonts w:ascii="Arial" w:hAnsi="Arial" w:cs="Arial"/>
          <w:b w:val="0"/>
          <w:smallCaps w:val="0"/>
          <w:sz w:val="22"/>
          <w:szCs w:val="22"/>
        </w:rPr>
        <w:t xml:space="preserve"> was 0</w:t>
      </w:r>
      <w:r w:rsidRPr="00EA3FBC">
        <w:rPr>
          <w:rFonts w:ascii="Arial" w:hAnsi="Arial" w:cs="Arial"/>
          <w:b w:val="0"/>
          <w:smallCaps w:val="0"/>
          <w:sz w:val="22"/>
          <w:szCs w:val="22"/>
        </w:rPr>
        <w:t>.09</w:t>
      </w:r>
      <w:r w:rsidRPr="00641103">
        <w:rPr>
          <w:rFonts w:ascii="Arial" w:hAnsi="Arial" w:cs="Arial"/>
          <w:b w:val="0"/>
          <w:smallCaps w:val="0"/>
          <w:sz w:val="22"/>
          <w:szCs w:val="22"/>
        </w:rPr>
        <w:t xml:space="preserve">% of covered payroll. The College’s contributions to DIPNC were $______ for the year ended June 30, </w:t>
      </w:r>
      <w:r>
        <w:rPr>
          <w:rFonts w:ascii="Arial" w:hAnsi="Arial" w:cs="Arial"/>
          <w:b w:val="0"/>
          <w:smallCaps w:val="0"/>
          <w:sz w:val="22"/>
          <w:szCs w:val="22"/>
        </w:rPr>
        <w:t>2022</w:t>
      </w:r>
      <w:r w:rsidRPr="00641103">
        <w:rPr>
          <w:rFonts w:ascii="Arial" w:hAnsi="Arial" w:cs="Arial"/>
          <w:b w:val="0"/>
          <w:smallCaps w:val="0"/>
          <w:sz w:val="22"/>
          <w:szCs w:val="22"/>
        </w:rPr>
        <w:t xml:space="preserve">. </w:t>
      </w:r>
    </w:p>
    <w:p w14:paraId="049B8606" w14:textId="77777777" w:rsidR="005558B6" w:rsidRPr="00641103" w:rsidRDefault="005558B6" w:rsidP="00A66832">
      <w:pPr>
        <w:pStyle w:val="Note10"/>
        <w:numPr>
          <w:ilvl w:val="0"/>
          <w:numId w:val="32"/>
        </w:numPr>
        <w:tabs>
          <w:tab w:val="clear" w:pos="1080"/>
        </w:tabs>
        <w:spacing w:before="0"/>
        <w:ind w:left="720"/>
        <w:jc w:val="both"/>
        <w:rPr>
          <w:rFonts w:ascii="Arial" w:hAnsi="Arial" w:cs="Arial"/>
          <w:smallCaps w:val="0"/>
          <w:sz w:val="22"/>
          <w:szCs w:val="22"/>
        </w:rPr>
      </w:pPr>
      <w:r w:rsidRPr="00641103">
        <w:rPr>
          <w:rFonts w:ascii="Arial" w:hAnsi="Arial" w:cs="Arial"/>
          <w:smallCaps w:val="0"/>
          <w:sz w:val="22"/>
          <w:szCs w:val="22"/>
        </w:rPr>
        <w:t>Net OPEB Liability (Asset)</w:t>
      </w:r>
    </w:p>
    <w:p w14:paraId="5D714781" w14:textId="5E68875D"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i/>
          <w:smallCaps w:val="0"/>
          <w:sz w:val="22"/>
          <w:szCs w:val="22"/>
        </w:rPr>
        <w:t>Net OPEB Liability:</w:t>
      </w:r>
      <w:r w:rsidRPr="00641103">
        <w:rPr>
          <w:rFonts w:ascii="Arial" w:hAnsi="Arial" w:cs="Arial"/>
          <w:b w:val="0"/>
          <w:smallCaps w:val="0"/>
          <w:sz w:val="22"/>
          <w:szCs w:val="22"/>
        </w:rPr>
        <w:t xml:space="preserve"> At June 30, </w:t>
      </w:r>
      <w:r>
        <w:rPr>
          <w:rFonts w:ascii="Arial" w:hAnsi="Arial" w:cs="Arial"/>
          <w:b w:val="0"/>
          <w:smallCaps w:val="0"/>
          <w:sz w:val="22"/>
          <w:szCs w:val="22"/>
        </w:rPr>
        <w:t>2022</w:t>
      </w:r>
      <w:r w:rsidRPr="00641103">
        <w:rPr>
          <w:rFonts w:ascii="Arial" w:hAnsi="Arial" w:cs="Arial"/>
          <w:b w:val="0"/>
          <w:smallCaps w:val="0"/>
          <w:sz w:val="22"/>
          <w:szCs w:val="22"/>
        </w:rPr>
        <w:t xml:space="preserve">, the College reported a liability of $_____ for its proportionate share of the collective net OPEB liability for RHBF. The net OPEB liability was measured as of June 30, </w:t>
      </w:r>
      <w:r>
        <w:rPr>
          <w:rFonts w:ascii="Arial" w:hAnsi="Arial" w:cs="Arial"/>
          <w:b w:val="0"/>
          <w:smallCaps w:val="0"/>
          <w:sz w:val="22"/>
          <w:szCs w:val="22"/>
        </w:rPr>
        <w:t>2021</w:t>
      </w:r>
      <w:r w:rsidRPr="00641103">
        <w:rPr>
          <w:rFonts w:ascii="Arial" w:hAnsi="Arial" w:cs="Arial"/>
          <w:b w:val="0"/>
          <w:smallCaps w:val="0"/>
          <w:sz w:val="22"/>
          <w:szCs w:val="22"/>
        </w:rPr>
        <w:t xml:space="preserve">. The total OPEB liability used to calculate the net OPEB liability was determined by an actuarial valuation as of December 31, </w:t>
      </w:r>
      <w:r>
        <w:rPr>
          <w:rFonts w:ascii="Arial" w:hAnsi="Arial" w:cs="Arial"/>
          <w:b w:val="0"/>
          <w:smallCaps w:val="0"/>
          <w:sz w:val="22"/>
          <w:szCs w:val="22"/>
        </w:rPr>
        <w:t>2020</w:t>
      </w:r>
      <w:r w:rsidRPr="00641103">
        <w:rPr>
          <w:rFonts w:ascii="Arial" w:hAnsi="Arial" w:cs="Arial"/>
          <w:b w:val="0"/>
          <w:smallCaps w:val="0"/>
          <w:sz w:val="22"/>
          <w:szCs w:val="22"/>
        </w:rPr>
        <w:t xml:space="preserve">, and update procedures were used to roll forward the total OPEB liability to June 30, </w:t>
      </w:r>
      <w:r>
        <w:rPr>
          <w:rFonts w:ascii="Arial" w:hAnsi="Arial" w:cs="Arial"/>
          <w:b w:val="0"/>
          <w:smallCaps w:val="0"/>
          <w:sz w:val="22"/>
          <w:szCs w:val="22"/>
        </w:rPr>
        <w:t>2021</w:t>
      </w:r>
      <w:r w:rsidRPr="00641103">
        <w:rPr>
          <w:rFonts w:ascii="Arial" w:hAnsi="Arial" w:cs="Arial"/>
          <w:b w:val="0"/>
          <w:smallCaps w:val="0"/>
          <w:sz w:val="22"/>
          <w:szCs w:val="22"/>
        </w:rPr>
        <w:t xml:space="preserve">. The College’s proportion of the net OPEB liability was based on </w:t>
      </w:r>
      <w:r w:rsidR="00643A19" w:rsidRPr="00643A19">
        <w:rPr>
          <w:rFonts w:ascii="Arial" w:hAnsi="Arial" w:cs="Arial"/>
          <w:b w:val="0"/>
          <w:smallCaps w:val="0"/>
          <w:sz w:val="22"/>
          <w:szCs w:val="22"/>
          <w:highlight w:val="yellow"/>
        </w:rPr>
        <w:t>a projection of</w:t>
      </w:r>
      <w:r w:rsidR="00643A19">
        <w:rPr>
          <w:rFonts w:ascii="Arial" w:hAnsi="Arial" w:cs="Arial"/>
          <w:b w:val="0"/>
          <w:smallCaps w:val="0"/>
          <w:sz w:val="22"/>
          <w:szCs w:val="22"/>
        </w:rPr>
        <w:t xml:space="preserve"> </w:t>
      </w:r>
      <w:r w:rsidRPr="00641103">
        <w:rPr>
          <w:rFonts w:ascii="Arial" w:hAnsi="Arial" w:cs="Arial"/>
          <w:b w:val="0"/>
          <w:smallCaps w:val="0"/>
          <w:sz w:val="22"/>
          <w:szCs w:val="22"/>
        </w:rPr>
        <w:t xml:space="preserve">the </w:t>
      </w:r>
      <w:r w:rsidRPr="00641103">
        <w:rPr>
          <w:rFonts w:ascii="Arial" w:hAnsi="Arial" w:cs="Arial"/>
          <w:b w:val="0"/>
          <w:smallCaps w:val="0"/>
          <w:sz w:val="22"/>
          <w:szCs w:val="22"/>
        </w:rPr>
        <w:lastRenderedPageBreak/>
        <w:t xml:space="preserve">present value of future salaries for the College relative to the </w:t>
      </w:r>
      <w:r w:rsidR="00643A19" w:rsidRPr="00643A19">
        <w:rPr>
          <w:rFonts w:ascii="Arial" w:hAnsi="Arial" w:cs="Arial"/>
          <w:b w:val="0"/>
          <w:smallCaps w:val="0"/>
          <w:sz w:val="22"/>
          <w:szCs w:val="22"/>
          <w:highlight w:val="yellow"/>
        </w:rPr>
        <w:t>projected</w:t>
      </w:r>
      <w:r w:rsidR="00643A19">
        <w:rPr>
          <w:rFonts w:ascii="Arial" w:hAnsi="Arial" w:cs="Arial"/>
          <w:b w:val="0"/>
          <w:smallCaps w:val="0"/>
          <w:sz w:val="22"/>
          <w:szCs w:val="22"/>
        </w:rPr>
        <w:t xml:space="preserve"> </w:t>
      </w:r>
      <w:r w:rsidRPr="00641103">
        <w:rPr>
          <w:rFonts w:ascii="Arial" w:hAnsi="Arial" w:cs="Arial"/>
          <w:b w:val="0"/>
          <w:smallCaps w:val="0"/>
          <w:sz w:val="22"/>
          <w:szCs w:val="22"/>
        </w:rPr>
        <w:t xml:space="preserve">present value of future salaries for all participating employers, actuarially-determined. As of June 30, </w:t>
      </w:r>
      <w:r>
        <w:rPr>
          <w:rFonts w:ascii="Arial" w:hAnsi="Arial" w:cs="Arial"/>
          <w:b w:val="0"/>
          <w:smallCaps w:val="0"/>
          <w:sz w:val="22"/>
          <w:szCs w:val="22"/>
        </w:rPr>
        <w:t>2021</w:t>
      </w:r>
      <w:r w:rsidRPr="00641103">
        <w:rPr>
          <w:rFonts w:ascii="Arial" w:hAnsi="Arial" w:cs="Arial"/>
          <w:b w:val="0"/>
          <w:smallCaps w:val="0"/>
          <w:sz w:val="22"/>
          <w:szCs w:val="22"/>
        </w:rPr>
        <w:t xml:space="preserve">, the College’s proportion was ___%, which was </w:t>
      </w:r>
      <w:r w:rsidRPr="00D21499">
        <w:rPr>
          <w:rFonts w:ascii="Arial" w:hAnsi="Arial" w:cs="Arial"/>
          <w:smallCaps w:val="0"/>
          <w:color w:val="0000FF"/>
          <w:sz w:val="22"/>
          <w:szCs w:val="22"/>
        </w:rPr>
        <w:t>an/a</w:t>
      </w:r>
      <w:r w:rsidRPr="00641103">
        <w:rPr>
          <w:rFonts w:ascii="Arial" w:hAnsi="Arial" w:cs="Arial"/>
          <w:b w:val="0"/>
          <w:smallCaps w:val="0"/>
          <w:sz w:val="22"/>
          <w:szCs w:val="22"/>
        </w:rPr>
        <w:t xml:space="preserve"> </w:t>
      </w:r>
      <w:r w:rsidRPr="00D21499">
        <w:rPr>
          <w:rFonts w:ascii="Arial" w:hAnsi="Arial" w:cs="Arial"/>
          <w:smallCaps w:val="0"/>
          <w:color w:val="0000FF"/>
          <w:sz w:val="22"/>
          <w:szCs w:val="22"/>
        </w:rPr>
        <w:t>[increase/decrease]</w:t>
      </w:r>
      <w:r w:rsidRPr="00641103">
        <w:rPr>
          <w:rFonts w:ascii="Arial" w:hAnsi="Arial" w:cs="Arial"/>
          <w:b w:val="0"/>
          <w:smallCaps w:val="0"/>
          <w:sz w:val="22"/>
          <w:szCs w:val="22"/>
        </w:rPr>
        <w:t xml:space="preserve"> of ___ from its proportion measured as of June 30, </w:t>
      </w:r>
      <w:r>
        <w:rPr>
          <w:rFonts w:ascii="Arial" w:hAnsi="Arial" w:cs="Arial"/>
          <w:b w:val="0"/>
          <w:smallCaps w:val="0"/>
          <w:sz w:val="22"/>
          <w:szCs w:val="22"/>
        </w:rPr>
        <w:t>2020</w:t>
      </w:r>
      <w:r w:rsidRPr="00641103">
        <w:rPr>
          <w:rFonts w:ascii="Arial" w:hAnsi="Arial" w:cs="Arial"/>
          <w:b w:val="0"/>
          <w:smallCaps w:val="0"/>
          <w:sz w:val="22"/>
          <w:szCs w:val="22"/>
        </w:rPr>
        <w:t xml:space="preserve">, which was ____%. </w:t>
      </w:r>
    </w:p>
    <w:p w14:paraId="5DD109F6" w14:textId="7AE85560" w:rsidR="005558B6" w:rsidRPr="0031596E"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i/>
          <w:smallCaps w:val="0"/>
          <w:sz w:val="22"/>
          <w:szCs w:val="22"/>
        </w:rPr>
        <w:t>Net OPEB Asset:</w:t>
      </w:r>
      <w:r w:rsidRPr="00641103">
        <w:rPr>
          <w:rFonts w:ascii="Arial" w:hAnsi="Arial" w:cs="Arial"/>
          <w:b w:val="0"/>
          <w:smallCaps w:val="0"/>
          <w:sz w:val="22"/>
          <w:szCs w:val="22"/>
        </w:rPr>
        <w:t xml:space="preserve"> At June 30, </w:t>
      </w:r>
      <w:r>
        <w:rPr>
          <w:rFonts w:ascii="Arial" w:hAnsi="Arial" w:cs="Arial"/>
          <w:b w:val="0"/>
          <w:smallCaps w:val="0"/>
          <w:sz w:val="22"/>
          <w:szCs w:val="22"/>
        </w:rPr>
        <w:t>2022</w:t>
      </w:r>
      <w:r w:rsidRPr="00641103">
        <w:rPr>
          <w:rFonts w:ascii="Arial" w:hAnsi="Arial" w:cs="Arial"/>
          <w:b w:val="0"/>
          <w:smallCaps w:val="0"/>
          <w:sz w:val="22"/>
          <w:szCs w:val="22"/>
        </w:rPr>
        <w:t xml:space="preserve">, the College reported an asset of $_____ for its proportionate share of the collective net OPEB asset for DIPNC. The net OPEB </w:t>
      </w:r>
      <w:r w:rsidRPr="0031596E">
        <w:rPr>
          <w:rFonts w:ascii="Arial" w:hAnsi="Arial" w:cs="Arial"/>
          <w:b w:val="0"/>
          <w:smallCaps w:val="0"/>
          <w:sz w:val="22"/>
          <w:szCs w:val="22"/>
        </w:rPr>
        <w:t>asset was measured as of June 30, 202</w:t>
      </w:r>
      <w:r>
        <w:rPr>
          <w:rFonts w:ascii="Arial" w:hAnsi="Arial" w:cs="Arial"/>
          <w:b w:val="0"/>
          <w:smallCaps w:val="0"/>
          <w:sz w:val="22"/>
          <w:szCs w:val="22"/>
        </w:rPr>
        <w:t>1</w:t>
      </w:r>
      <w:r w:rsidRPr="0031596E">
        <w:rPr>
          <w:rFonts w:ascii="Arial" w:hAnsi="Arial" w:cs="Arial"/>
          <w:b w:val="0"/>
          <w:smallCaps w:val="0"/>
          <w:sz w:val="22"/>
          <w:szCs w:val="22"/>
        </w:rPr>
        <w:t>. The total OPEB liability used to calculate the net OPEB asset was determined by an actuarial valuation as of December 31, 20</w:t>
      </w:r>
      <w:r>
        <w:rPr>
          <w:rFonts w:ascii="Arial" w:hAnsi="Arial" w:cs="Arial"/>
          <w:b w:val="0"/>
          <w:smallCaps w:val="0"/>
          <w:sz w:val="22"/>
          <w:szCs w:val="22"/>
        </w:rPr>
        <w:t>20</w:t>
      </w:r>
      <w:r w:rsidRPr="0031596E">
        <w:rPr>
          <w:rFonts w:ascii="Arial" w:hAnsi="Arial" w:cs="Arial"/>
          <w:b w:val="0"/>
          <w:smallCaps w:val="0"/>
          <w:sz w:val="22"/>
          <w:szCs w:val="22"/>
        </w:rPr>
        <w:t>, and update procedures were used to roll forward the total OPEB liability to June 30, 202</w:t>
      </w:r>
      <w:r>
        <w:rPr>
          <w:rFonts w:ascii="Arial" w:hAnsi="Arial" w:cs="Arial"/>
          <w:b w:val="0"/>
          <w:smallCaps w:val="0"/>
          <w:sz w:val="22"/>
          <w:szCs w:val="22"/>
        </w:rPr>
        <w:t>1</w:t>
      </w:r>
      <w:r w:rsidRPr="0031596E">
        <w:rPr>
          <w:rFonts w:ascii="Arial" w:hAnsi="Arial" w:cs="Arial"/>
          <w:b w:val="0"/>
          <w:smallCaps w:val="0"/>
          <w:sz w:val="22"/>
          <w:szCs w:val="22"/>
        </w:rPr>
        <w:t xml:space="preserve">. The College’s proportion of the net OPEB asset was based on </w:t>
      </w:r>
      <w:r w:rsidR="00643A19" w:rsidRPr="00643A19">
        <w:rPr>
          <w:rFonts w:ascii="Arial" w:hAnsi="Arial" w:cs="Arial"/>
          <w:b w:val="0"/>
          <w:smallCaps w:val="0"/>
          <w:sz w:val="22"/>
          <w:szCs w:val="22"/>
          <w:highlight w:val="yellow"/>
        </w:rPr>
        <w:t>a projection of</w:t>
      </w:r>
      <w:r w:rsidR="00643A19">
        <w:rPr>
          <w:rFonts w:ascii="Arial" w:hAnsi="Arial" w:cs="Arial"/>
          <w:b w:val="0"/>
          <w:smallCaps w:val="0"/>
          <w:sz w:val="22"/>
          <w:szCs w:val="22"/>
        </w:rPr>
        <w:t xml:space="preserve"> </w:t>
      </w:r>
      <w:r w:rsidRPr="0031596E">
        <w:rPr>
          <w:rFonts w:ascii="Arial" w:hAnsi="Arial" w:cs="Arial"/>
          <w:b w:val="0"/>
          <w:smallCaps w:val="0"/>
          <w:sz w:val="22"/>
          <w:szCs w:val="22"/>
        </w:rPr>
        <w:t>the present value of future salaries for the College relative to the</w:t>
      </w:r>
      <w:r w:rsidR="00643A19">
        <w:rPr>
          <w:rFonts w:ascii="Arial" w:hAnsi="Arial" w:cs="Arial"/>
          <w:b w:val="0"/>
          <w:smallCaps w:val="0"/>
          <w:sz w:val="22"/>
          <w:szCs w:val="22"/>
        </w:rPr>
        <w:t xml:space="preserve"> </w:t>
      </w:r>
      <w:r w:rsidR="00643A19" w:rsidRPr="00643A19">
        <w:rPr>
          <w:rFonts w:ascii="Arial" w:hAnsi="Arial" w:cs="Arial"/>
          <w:b w:val="0"/>
          <w:smallCaps w:val="0"/>
          <w:sz w:val="22"/>
          <w:szCs w:val="22"/>
          <w:highlight w:val="yellow"/>
        </w:rPr>
        <w:t>projected</w:t>
      </w:r>
      <w:r w:rsidRPr="0031596E">
        <w:rPr>
          <w:rFonts w:ascii="Arial" w:hAnsi="Arial" w:cs="Arial"/>
          <w:b w:val="0"/>
          <w:smallCaps w:val="0"/>
          <w:sz w:val="22"/>
          <w:szCs w:val="22"/>
        </w:rPr>
        <w:t xml:space="preserve"> present value of future salaries for all participating employers, actuarially-determined. As of June 30, 202</w:t>
      </w:r>
      <w:r>
        <w:rPr>
          <w:rFonts w:ascii="Arial" w:hAnsi="Arial" w:cs="Arial"/>
          <w:b w:val="0"/>
          <w:smallCaps w:val="0"/>
          <w:sz w:val="22"/>
          <w:szCs w:val="22"/>
        </w:rPr>
        <w:t>1</w:t>
      </w:r>
      <w:r w:rsidRPr="0031596E">
        <w:rPr>
          <w:rFonts w:ascii="Arial" w:hAnsi="Arial" w:cs="Arial"/>
          <w:b w:val="0"/>
          <w:smallCaps w:val="0"/>
          <w:sz w:val="22"/>
          <w:szCs w:val="22"/>
        </w:rPr>
        <w:t xml:space="preserve">, the College’s proportion was ___%, which was </w:t>
      </w:r>
      <w:r w:rsidRPr="0031596E">
        <w:rPr>
          <w:rFonts w:ascii="Arial" w:hAnsi="Arial" w:cs="Arial"/>
          <w:smallCaps w:val="0"/>
          <w:color w:val="0000FF"/>
          <w:sz w:val="22"/>
          <w:szCs w:val="22"/>
        </w:rPr>
        <w:t>an/a [increase/decrease]</w:t>
      </w:r>
      <w:r w:rsidRPr="0031596E">
        <w:rPr>
          <w:rFonts w:ascii="Arial" w:hAnsi="Arial" w:cs="Arial"/>
          <w:b w:val="0"/>
          <w:smallCaps w:val="0"/>
          <w:sz w:val="22"/>
          <w:szCs w:val="22"/>
        </w:rPr>
        <w:t xml:space="preserve"> of ___ from its proportion measured as of June 30, 20</w:t>
      </w:r>
      <w:r>
        <w:rPr>
          <w:rFonts w:ascii="Arial" w:hAnsi="Arial" w:cs="Arial"/>
          <w:b w:val="0"/>
          <w:smallCaps w:val="0"/>
          <w:sz w:val="22"/>
          <w:szCs w:val="22"/>
        </w:rPr>
        <w:t>20</w:t>
      </w:r>
      <w:r w:rsidRPr="0031596E">
        <w:rPr>
          <w:rFonts w:ascii="Arial" w:hAnsi="Arial" w:cs="Arial"/>
          <w:b w:val="0"/>
          <w:smallCaps w:val="0"/>
          <w:sz w:val="22"/>
          <w:szCs w:val="22"/>
        </w:rPr>
        <w:t>, which was ____%.</w:t>
      </w:r>
    </w:p>
    <w:p w14:paraId="37780400" w14:textId="77777777" w:rsidR="005558B6" w:rsidRPr="007D42A9" w:rsidRDefault="005558B6" w:rsidP="00A66832">
      <w:pPr>
        <w:pStyle w:val="Note10"/>
        <w:tabs>
          <w:tab w:val="clear" w:pos="1080"/>
        </w:tabs>
        <w:spacing w:before="0"/>
        <w:ind w:left="720"/>
        <w:jc w:val="both"/>
        <w:rPr>
          <w:rFonts w:ascii="Arial" w:hAnsi="Arial" w:cs="Arial"/>
          <w:b w:val="0"/>
          <w:smallCaps w:val="0"/>
          <w:sz w:val="22"/>
          <w:szCs w:val="22"/>
          <w:highlight w:val="yellow"/>
        </w:rPr>
      </w:pPr>
      <w:r w:rsidRPr="0031596E">
        <w:rPr>
          <w:rFonts w:ascii="Arial" w:hAnsi="Arial" w:cs="Arial"/>
          <w:b w:val="0"/>
          <w:i/>
          <w:smallCaps w:val="0"/>
          <w:sz w:val="22"/>
          <w:szCs w:val="22"/>
        </w:rPr>
        <w:t>Actuarial Assumptions:</w:t>
      </w:r>
      <w:r w:rsidRPr="0031596E">
        <w:rPr>
          <w:rFonts w:ascii="Arial" w:hAnsi="Arial" w:cs="Arial"/>
          <w:b w:val="0"/>
          <w:smallCaps w:val="0"/>
          <w:sz w:val="22"/>
          <w:szCs w:val="22"/>
        </w:rPr>
        <w:t xml:space="preserve"> The total OPEB liabilities for</w:t>
      </w:r>
      <w:r w:rsidRPr="00641103">
        <w:rPr>
          <w:rFonts w:ascii="Arial" w:hAnsi="Arial" w:cs="Arial"/>
          <w:b w:val="0"/>
          <w:smallCaps w:val="0"/>
          <w:sz w:val="22"/>
          <w:szCs w:val="22"/>
        </w:rPr>
        <w:t xml:space="preserve"> RHBF and DIPNC were determined by </w:t>
      </w:r>
      <w:r w:rsidRPr="0031596E">
        <w:rPr>
          <w:rFonts w:ascii="Arial" w:hAnsi="Arial" w:cs="Arial"/>
          <w:b w:val="0"/>
          <w:smallCaps w:val="0"/>
          <w:sz w:val="22"/>
          <w:szCs w:val="22"/>
        </w:rPr>
        <w:t>actuarial valuations as of December 31, 20</w:t>
      </w:r>
      <w:r>
        <w:rPr>
          <w:rFonts w:ascii="Arial" w:hAnsi="Arial" w:cs="Arial"/>
          <w:b w:val="0"/>
          <w:smallCaps w:val="0"/>
          <w:sz w:val="22"/>
          <w:szCs w:val="22"/>
        </w:rPr>
        <w:t>20</w:t>
      </w:r>
      <w:r w:rsidRPr="0031596E">
        <w:rPr>
          <w:rFonts w:ascii="Arial" w:hAnsi="Arial" w:cs="Arial"/>
          <w:b w:val="0"/>
          <w:smallCaps w:val="0"/>
          <w:sz w:val="22"/>
          <w:szCs w:val="22"/>
        </w:rPr>
        <w:t>, using the following actuarial assumptions, applied to all periods included in the measurement, unless otherwise specified. The total OPEB liabilities were then rolled forward to June 30, 202</w:t>
      </w:r>
      <w:r>
        <w:rPr>
          <w:rFonts w:ascii="Arial" w:hAnsi="Arial" w:cs="Arial"/>
          <w:b w:val="0"/>
          <w:smallCaps w:val="0"/>
          <w:sz w:val="22"/>
          <w:szCs w:val="22"/>
        </w:rPr>
        <w:t>1</w:t>
      </w:r>
      <w:r w:rsidRPr="0031596E">
        <w:rPr>
          <w:rFonts w:ascii="Arial" w:hAnsi="Arial" w:cs="Arial"/>
          <w:b w:val="0"/>
          <w:smallCaps w:val="0"/>
          <w:sz w:val="22"/>
          <w:szCs w:val="22"/>
        </w:rPr>
        <w:t xml:space="preserve"> utilizing update procedures incorporating the actuarial assumptions.</w:t>
      </w:r>
      <w:r w:rsidRPr="00641103">
        <w:rPr>
          <w:rFonts w:ascii="Arial" w:hAnsi="Arial" w:cs="Arial"/>
          <w:b w:val="0"/>
          <w:smallCaps w:val="0"/>
          <w:sz w:val="22"/>
          <w:szCs w:val="22"/>
        </w:rPr>
        <w:t xml:space="preserve"> </w:t>
      </w:r>
    </w:p>
    <w:bookmarkStart w:id="326" w:name="_MON_1614667049"/>
    <w:bookmarkEnd w:id="326"/>
    <w:p w14:paraId="123E417B" w14:textId="55AC8344" w:rsidR="005558B6" w:rsidRPr="007D42A9" w:rsidRDefault="00731203" w:rsidP="00A66832">
      <w:pPr>
        <w:pStyle w:val="Note10"/>
        <w:tabs>
          <w:tab w:val="clear" w:pos="1080"/>
          <w:tab w:val="clear" w:pos="1440"/>
        </w:tabs>
        <w:spacing w:before="0" w:line="276" w:lineRule="auto"/>
        <w:ind w:left="720"/>
        <w:jc w:val="center"/>
        <w:rPr>
          <w:rFonts w:ascii="Arial" w:hAnsi="Arial" w:cs="Arial"/>
          <w:b w:val="0"/>
          <w:smallCaps w:val="0"/>
          <w:sz w:val="22"/>
          <w:szCs w:val="22"/>
          <w:highlight w:val="yellow"/>
        </w:rPr>
      </w:pPr>
      <w:r w:rsidRPr="00483131">
        <w:rPr>
          <w:rFonts w:ascii="Arial" w:hAnsi="Arial" w:cs="Arial"/>
        </w:rPr>
        <w:object w:dxaOrig="8721" w:dyaOrig="4768" w14:anchorId="7927FAA1">
          <v:shape id="_x0000_i1050" type="#_x0000_t75" style="width:345.75pt;height:208.5pt" o:ole="">
            <v:imagedata r:id="rId66" o:title=""/>
          </v:shape>
          <o:OLEObject Type="Embed" ProgID="Excel.Sheet.12" ShapeID="_x0000_i1050" DrawAspect="Content" ObjectID="_1721553195" r:id="rId67"/>
        </w:object>
      </w:r>
    </w:p>
    <w:p w14:paraId="7962B81D" w14:textId="7081A1BF"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 xml:space="preserve">The OPEB plans currently use mortality tables that vary by age, gender, employee group (i.e. teacher, general, law enforcement officer) and health status (i.e. disabled </w:t>
      </w:r>
      <w:r w:rsidR="00C845E2" w:rsidRPr="00C845E2">
        <w:rPr>
          <w:rFonts w:ascii="Arial" w:hAnsi="Arial" w:cs="Arial"/>
          <w:b w:val="0"/>
          <w:smallCaps w:val="0"/>
          <w:sz w:val="22"/>
          <w:szCs w:val="22"/>
          <w:highlight w:val="yellow"/>
        </w:rPr>
        <w:t>or</w:t>
      </w:r>
      <w:r w:rsidRPr="00641103">
        <w:rPr>
          <w:rFonts w:ascii="Arial" w:hAnsi="Arial" w:cs="Arial"/>
          <w:b w:val="0"/>
          <w:smallCaps w:val="0"/>
          <w:sz w:val="22"/>
          <w:szCs w:val="22"/>
        </w:rPr>
        <w:t xml:space="preserve"> </w:t>
      </w:r>
      <w:r w:rsidR="00436481" w:rsidRPr="00436481">
        <w:rPr>
          <w:rFonts w:ascii="Arial" w:hAnsi="Arial" w:cs="Arial"/>
          <w:b w:val="0"/>
          <w:smallCaps w:val="0"/>
          <w:sz w:val="22"/>
          <w:szCs w:val="22"/>
          <w:highlight w:val="yellow"/>
        </w:rPr>
        <w:t>not disabled</w:t>
      </w:r>
      <w:r w:rsidRPr="00641103">
        <w:rPr>
          <w:rFonts w:ascii="Arial" w:hAnsi="Arial" w:cs="Arial"/>
          <w:b w:val="0"/>
          <w:smallCaps w:val="0"/>
          <w:sz w:val="22"/>
          <w:szCs w:val="22"/>
        </w:rPr>
        <w:t xml:space="preserve">). The current mortality rates are based on published tables and studies that cover significant portions of the U.S. </w:t>
      </w:r>
      <w:r w:rsidR="00436481" w:rsidRPr="00436481">
        <w:rPr>
          <w:rFonts w:ascii="Arial" w:hAnsi="Arial" w:cs="Arial"/>
          <w:b w:val="0"/>
          <w:smallCaps w:val="0"/>
          <w:sz w:val="22"/>
          <w:szCs w:val="22"/>
          <w:highlight w:val="yellow"/>
        </w:rPr>
        <w:t>public plan</w:t>
      </w:r>
      <w:r w:rsidR="00436481">
        <w:rPr>
          <w:rFonts w:ascii="Arial" w:hAnsi="Arial" w:cs="Arial"/>
          <w:b w:val="0"/>
          <w:smallCaps w:val="0"/>
          <w:sz w:val="22"/>
          <w:szCs w:val="22"/>
        </w:rPr>
        <w:t xml:space="preserve"> </w:t>
      </w:r>
      <w:r w:rsidRPr="00641103">
        <w:rPr>
          <w:rFonts w:ascii="Arial" w:hAnsi="Arial" w:cs="Arial"/>
          <w:b w:val="0"/>
          <w:smallCaps w:val="0"/>
          <w:sz w:val="22"/>
          <w:szCs w:val="22"/>
        </w:rPr>
        <w:t>population. The healthy mortality rates also contain a provision to reflect future mortality improvements.</w:t>
      </w:r>
    </w:p>
    <w:p w14:paraId="5B3E25B9" w14:textId="42A3A43A"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 xml:space="preserve">The projected long-term investment returns and inflation assumptions are developed through a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w:t>
      </w:r>
      <w:r w:rsidRPr="00641103">
        <w:rPr>
          <w:rFonts w:ascii="Arial" w:hAnsi="Arial" w:cs="Arial"/>
          <w:b w:val="0"/>
          <w:smallCaps w:val="0"/>
          <w:sz w:val="22"/>
          <w:szCs w:val="22"/>
        </w:rPr>
        <w:lastRenderedPageBreak/>
        <w:t xml:space="preserve">tenors and over multiple year horizons. Global public equity return </w:t>
      </w:r>
      <w:r w:rsidRPr="00436481">
        <w:rPr>
          <w:rFonts w:ascii="Arial" w:hAnsi="Arial" w:cs="Arial"/>
          <w:b w:val="0"/>
          <w:smallCaps w:val="0"/>
          <w:sz w:val="22"/>
          <w:szCs w:val="22"/>
          <w:highlight w:val="yellow"/>
        </w:rPr>
        <w:t>project</w:t>
      </w:r>
      <w:r w:rsidR="00436481" w:rsidRPr="00436481">
        <w:rPr>
          <w:rFonts w:ascii="Arial" w:hAnsi="Arial" w:cs="Arial"/>
          <w:b w:val="0"/>
          <w:smallCaps w:val="0"/>
          <w:sz w:val="22"/>
          <w:szCs w:val="22"/>
          <w:highlight w:val="yellow"/>
        </w:rPr>
        <w:t>ions</w:t>
      </w:r>
      <w:r w:rsidRPr="00641103">
        <w:rPr>
          <w:rFonts w:ascii="Arial" w:hAnsi="Arial" w:cs="Arial"/>
          <w:b w:val="0"/>
          <w:smallCaps w:val="0"/>
          <w:sz w:val="22"/>
          <w:szCs w:val="22"/>
        </w:rPr>
        <w:t xml:space="preserve">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weighting the expected future real rates of return by the target asset allocation percentage and by adding expected inflation. DIPNC is primarily invested in the Bond Index Investment Pool as of June 30, </w:t>
      </w:r>
      <w:r>
        <w:rPr>
          <w:rFonts w:ascii="Arial" w:hAnsi="Arial" w:cs="Arial"/>
          <w:b w:val="0"/>
          <w:smallCaps w:val="0"/>
          <w:sz w:val="22"/>
          <w:szCs w:val="22"/>
        </w:rPr>
        <w:t>2021</w:t>
      </w:r>
      <w:r w:rsidRPr="00641103">
        <w:rPr>
          <w:rFonts w:ascii="Arial" w:hAnsi="Arial" w:cs="Arial"/>
          <w:b w:val="0"/>
          <w:smallCaps w:val="0"/>
          <w:sz w:val="22"/>
          <w:szCs w:val="22"/>
        </w:rPr>
        <w:t>.</w:t>
      </w:r>
    </w:p>
    <w:p w14:paraId="7A3A0757" w14:textId="51737763" w:rsidR="005558B6" w:rsidRPr="007D42A9" w:rsidRDefault="005558B6" w:rsidP="00A66832">
      <w:pPr>
        <w:pStyle w:val="Note10"/>
        <w:tabs>
          <w:tab w:val="clear" w:pos="1080"/>
        </w:tabs>
        <w:spacing w:before="0"/>
        <w:ind w:left="720"/>
        <w:jc w:val="both"/>
        <w:rPr>
          <w:rFonts w:ascii="Arial" w:hAnsi="Arial" w:cs="Arial"/>
          <w:b w:val="0"/>
          <w:smallCaps w:val="0"/>
          <w:sz w:val="22"/>
          <w:szCs w:val="22"/>
          <w:highlight w:val="yellow"/>
        </w:rPr>
      </w:pPr>
      <w:r w:rsidRPr="00641103">
        <w:rPr>
          <w:rFonts w:ascii="Arial" w:hAnsi="Arial" w:cs="Arial"/>
          <w:b w:val="0"/>
          <w:smallCaps w:val="0"/>
          <w:sz w:val="22"/>
          <w:szCs w:val="22"/>
        </w:rPr>
        <w:t xml:space="preserve">Best estimates of real rates of return for each major asset class included in RHBF’s target asset allocation as of June 30, </w:t>
      </w:r>
      <w:r>
        <w:rPr>
          <w:rFonts w:ascii="Arial" w:hAnsi="Arial" w:cs="Arial"/>
          <w:b w:val="0"/>
          <w:smallCaps w:val="0"/>
          <w:sz w:val="22"/>
          <w:szCs w:val="22"/>
        </w:rPr>
        <w:t>2021</w:t>
      </w:r>
      <w:r w:rsidRPr="00641103">
        <w:rPr>
          <w:rFonts w:ascii="Arial" w:hAnsi="Arial" w:cs="Arial"/>
          <w:b w:val="0"/>
          <w:smallCaps w:val="0"/>
          <w:sz w:val="22"/>
          <w:szCs w:val="22"/>
        </w:rPr>
        <w:t xml:space="preserve"> (the </w:t>
      </w:r>
      <w:r w:rsidR="00643A19" w:rsidRPr="00643A19">
        <w:rPr>
          <w:rFonts w:ascii="Arial" w:hAnsi="Arial" w:cs="Arial"/>
          <w:b w:val="0"/>
          <w:smallCaps w:val="0"/>
          <w:sz w:val="22"/>
          <w:szCs w:val="22"/>
          <w:highlight w:val="yellow"/>
        </w:rPr>
        <w:t>measurement</w:t>
      </w:r>
      <w:r w:rsidRPr="00641103">
        <w:rPr>
          <w:rFonts w:ascii="Arial" w:hAnsi="Arial" w:cs="Arial"/>
          <w:b w:val="0"/>
          <w:smallCaps w:val="0"/>
          <w:sz w:val="22"/>
          <w:szCs w:val="22"/>
        </w:rPr>
        <w:t xml:space="preserve"> date) are summarized in the following table:</w:t>
      </w:r>
    </w:p>
    <w:bookmarkStart w:id="327" w:name="_MON_1582019855"/>
    <w:bookmarkEnd w:id="327"/>
    <w:p w14:paraId="1F388C58" w14:textId="77777777" w:rsidR="005558B6" w:rsidRPr="007D42A9" w:rsidRDefault="005558B6" w:rsidP="00A66832">
      <w:pPr>
        <w:pStyle w:val="Note10"/>
        <w:tabs>
          <w:tab w:val="clear" w:pos="1080"/>
          <w:tab w:val="left" w:pos="1800"/>
        </w:tabs>
        <w:spacing w:before="0" w:line="276" w:lineRule="auto"/>
        <w:ind w:left="720"/>
        <w:jc w:val="center"/>
        <w:rPr>
          <w:rFonts w:ascii="Arial" w:hAnsi="Arial" w:cs="Arial"/>
          <w:b w:val="0"/>
          <w:smallCaps w:val="0"/>
          <w:sz w:val="22"/>
          <w:szCs w:val="22"/>
          <w:highlight w:val="yellow"/>
        </w:rPr>
      </w:pPr>
      <w:r w:rsidRPr="00C306FC">
        <w:rPr>
          <w:rFonts w:ascii="Arial" w:hAnsi="Arial" w:cs="Arial"/>
          <w:b w:val="0"/>
          <w:smallCaps w:val="0"/>
          <w:sz w:val="22"/>
          <w:szCs w:val="22"/>
        </w:rPr>
        <w:object w:dxaOrig="5777" w:dyaOrig="2180" w14:anchorId="0DC6F40B">
          <v:shape id="_x0000_i1051" type="#_x0000_t75" style="width:252pt;height:108pt" o:ole="">
            <v:imagedata r:id="rId68" o:title=""/>
          </v:shape>
          <o:OLEObject Type="Embed" ProgID="Excel.Sheet.12" ShapeID="_x0000_i1051" DrawAspect="Content" ObjectID="_1721553196" r:id="rId69"/>
        </w:object>
      </w:r>
    </w:p>
    <w:p w14:paraId="576CC9A2" w14:textId="3F7BE1A2"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 xml:space="preserve">The information in the preceding table is based on 30-year expectations developed with the consulting actuary </w:t>
      </w:r>
      <w:r w:rsidR="00436481" w:rsidRPr="00436481">
        <w:rPr>
          <w:rFonts w:ascii="Arial" w:hAnsi="Arial" w:cs="Arial"/>
          <w:b w:val="0"/>
          <w:smallCaps w:val="0"/>
          <w:sz w:val="22"/>
          <w:szCs w:val="22"/>
          <w:highlight w:val="yellow"/>
        </w:rPr>
        <w:t>as part of a study conducted in 2016,</w:t>
      </w:r>
      <w:r w:rsidR="00436481">
        <w:rPr>
          <w:rFonts w:ascii="Arial" w:hAnsi="Arial" w:cs="Arial"/>
          <w:b w:val="0"/>
          <w:smallCaps w:val="0"/>
          <w:sz w:val="22"/>
          <w:szCs w:val="22"/>
        </w:rPr>
        <w:t xml:space="preserve"> </w:t>
      </w:r>
      <w:r w:rsidRPr="00641103">
        <w:rPr>
          <w:rFonts w:ascii="Arial" w:hAnsi="Arial" w:cs="Arial"/>
          <w:b w:val="0"/>
          <w:smallCaps w:val="0"/>
          <w:sz w:val="22"/>
          <w:szCs w:val="22"/>
        </w:rPr>
        <w:t xml:space="preserve">and is part of the asset, liability, and investment policy of the North Carolina Retirement Systems. The long-term nominal rates of return underlying the real rates of return are arithmetic annualized figures. The real rates of return are calculated from nominal rates by multiplicatively subtracting a long-term inflation assumption of 3.05%. Return projections do not include any excess return expectations over benchmark averages. All rates of return and inflation are annualized. The long-term expected real rate of return for the Bond Index Investment Pool as of June 30, </w:t>
      </w:r>
      <w:r>
        <w:rPr>
          <w:rFonts w:ascii="Arial" w:hAnsi="Arial" w:cs="Arial"/>
          <w:b w:val="0"/>
          <w:smallCaps w:val="0"/>
          <w:sz w:val="22"/>
          <w:szCs w:val="22"/>
        </w:rPr>
        <w:t>2021</w:t>
      </w:r>
      <w:r w:rsidRPr="00641103">
        <w:rPr>
          <w:rFonts w:ascii="Arial" w:hAnsi="Arial" w:cs="Arial"/>
          <w:b w:val="0"/>
          <w:smallCaps w:val="0"/>
          <w:sz w:val="22"/>
          <w:szCs w:val="22"/>
        </w:rPr>
        <w:t xml:space="preserve"> i</w:t>
      </w:r>
      <w:r w:rsidRPr="00EA3FBC">
        <w:rPr>
          <w:rFonts w:ascii="Arial" w:hAnsi="Arial" w:cs="Arial"/>
          <w:b w:val="0"/>
          <w:smallCaps w:val="0"/>
          <w:sz w:val="22"/>
          <w:szCs w:val="22"/>
        </w:rPr>
        <w:t xml:space="preserve">s </w:t>
      </w:r>
      <w:r w:rsidRPr="00436481">
        <w:rPr>
          <w:rFonts w:ascii="Arial" w:hAnsi="Arial" w:cs="Arial"/>
          <w:b w:val="0"/>
          <w:smallCaps w:val="0"/>
          <w:sz w:val="22"/>
          <w:szCs w:val="22"/>
          <w:highlight w:val="yellow"/>
        </w:rPr>
        <w:t>1.</w:t>
      </w:r>
      <w:r w:rsidR="00436481" w:rsidRPr="00436481">
        <w:rPr>
          <w:rFonts w:ascii="Arial" w:hAnsi="Arial" w:cs="Arial"/>
          <w:b w:val="0"/>
          <w:smallCaps w:val="0"/>
          <w:sz w:val="22"/>
          <w:szCs w:val="22"/>
          <w:highlight w:val="yellow"/>
        </w:rPr>
        <w:t>3</w:t>
      </w:r>
      <w:r w:rsidRPr="00436481">
        <w:rPr>
          <w:rFonts w:ascii="Arial" w:hAnsi="Arial" w:cs="Arial"/>
          <w:b w:val="0"/>
          <w:smallCaps w:val="0"/>
          <w:sz w:val="22"/>
          <w:szCs w:val="22"/>
          <w:highlight w:val="yellow"/>
        </w:rPr>
        <w:t>%</w:t>
      </w:r>
      <w:r w:rsidRPr="00EA3FBC">
        <w:rPr>
          <w:rFonts w:ascii="Arial" w:hAnsi="Arial" w:cs="Arial"/>
          <w:b w:val="0"/>
          <w:smallCaps w:val="0"/>
          <w:sz w:val="22"/>
          <w:szCs w:val="22"/>
        </w:rPr>
        <w:t>.</w:t>
      </w:r>
    </w:p>
    <w:p w14:paraId="03803880" w14:textId="6E0DDD9D"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 xml:space="preserve">Actuarial valuations of the plans involve estimates of the value of reported amounts and assumptions about the probability of occurrence of events far into the future. </w:t>
      </w:r>
      <w:r w:rsidR="00436481" w:rsidRPr="00D219B9">
        <w:rPr>
          <w:rFonts w:ascii="Arial" w:hAnsi="Arial" w:cs="Arial"/>
          <w:b w:val="0"/>
          <w:smallCaps w:val="0"/>
          <w:sz w:val="22"/>
          <w:szCs w:val="22"/>
          <w:highlight w:val="yellow"/>
        </w:rPr>
        <w:t>The results</w:t>
      </w:r>
      <w:r w:rsidR="00436481">
        <w:rPr>
          <w:rFonts w:ascii="Arial" w:hAnsi="Arial" w:cs="Arial"/>
          <w:b w:val="0"/>
          <w:smallCaps w:val="0"/>
          <w:sz w:val="22"/>
          <w:szCs w:val="22"/>
          <w:highlight w:val="yellow"/>
        </w:rPr>
        <w:t xml:space="preserve"> of the valuations fluctuate from year to year as actual experience differs from assumptions. This includes demographic experiences (i.e., mortality and retirement) that differ from expected. This also includes financial experiences (i.e., member medical costs and contributions) that vary from expected trends.</w:t>
      </w:r>
      <w:r w:rsidR="00436481" w:rsidRPr="00D219B9">
        <w:rPr>
          <w:rFonts w:ascii="Arial" w:hAnsi="Arial" w:cs="Arial"/>
          <w:b w:val="0"/>
          <w:smallCaps w:val="0"/>
          <w:sz w:val="22"/>
          <w:szCs w:val="22"/>
        </w:rPr>
        <w:t xml:space="preserve"> </w:t>
      </w:r>
      <w:r w:rsidRPr="00641103">
        <w:rPr>
          <w:rFonts w:ascii="Arial" w:hAnsi="Arial" w:cs="Arial"/>
          <w:b w:val="0"/>
          <w:smallCaps w:val="0"/>
          <w:sz w:val="22"/>
          <w:szCs w:val="22"/>
        </w:rPr>
        <w:t xml:space="preserve">Actuarially determined amounts are subject to continual revision as actual results are compared to past expectations and new estimates are made about the future. </w:t>
      </w:r>
    </w:p>
    <w:p w14:paraId="69044882" w14:textId="77777777"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The actuarial assumptions used for RHBF are consistent with those used to value the pension benefits of TSERS where appropriate. These assumptions are based on the most recent pension valuations available. The discount rate used for RHBF reflects a pay-as-you-go approach.</w:t>
      </w:r>
    </w:p>
    <w:p w14:paraId="645EA467" w14:textId="0C7802CE"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Projections of benefits for financial reporting purposes of the plans are based on the substantive plan (the plan as understood by the employer and plan members) and include the types of benefits provided at the time of each valuation and historical pattern of sharing of benefit costs between the employer and plan members to that point. Historically, the benefits</w:t>
      </w:r>
      <w:r w:rsidR="00436481">
        <w:rPr>
          <w:rFonts w:ascii="Arial" w:hAnsi="Arial" w:cs="Arial"/>
          <w:b w:val="0"/>
          <w:smallCaps w:val="0"/>
          <w:sz w:val="22"/>
          <w:szCs w:val="22"/>
        </w:rPr>
        <w:t xml:space="preserve"> </w:t>
      </w:r>
      <w:r w:rsidR="00436481" w:rsidRPr="00436481">
        <w:rPr>
          <w:rFonts w:ascii="Arial" w:hAnsi="Arial" w:cs="Arial"/>
          <w:b w:val="0"/>
          <w:smallCaps w:val="0"/>
          <w:sz w:val="22"/>
          <w:szCs w:val="22"/>
          <w:highlight w:val="yellow"/>
        </w:rPr>
        <w:t>have been</w:t>
      </w:r>
      <w:r w:rsidRPr="00641103">
        <w:rPr>
          <w:rFonts w:ascii="Arial" w:hAnsi="Arial" w:cs="Arial"/>
          <w:b w:val="0"/>
          <w:smallCaps w:val="0"/>
          <w:sz w:val="22"/>
          <w:szCs w:val="22"/>
        </w:rPr>
        <w:t xml:space="preserve"> funded solely by employer contributions applied </w:t>
      </w:r>
      <w:r w:rsidRPr="00641103">
        <w:rPr>
          <w:rFonts w:ascii="Arial" w:hAnsi="Arial" w:cs="Arial"/>
          <w:b w:val="0"/>
          <w:smallCaps w:val="0"/>
          <w:sz w:val="22"/>
          <w:szCs w:val="22"/>
        </w:rPr>
        <w:lastRenderedPageBreak/>
        <w:t xml:space="preserve">equally to all retirees. Currently, as described earlier in the note, benefits are dependent on membership requirements. </w:t>
      </w:r>
    </w:p>
    <w:p w14:paraId="1DD5E2F4" w14:textId="77777777"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smallCaps w:val="0"/>
          <w:sz w:val="22"/>
          <w:szCs w:val="22"/>
        </w:rPr>
        <w:t xml:space="preserve">The actuarial methods and assumptions used for DIPNC include techniques that are designed to reduce the effects of short-term volatility in actuarial accrued liabilities and the actuarial value of assets, consistent with the long-term perspective of the calculations. </w:t>
      </w:r>
    </w:p>
    <w:p w14:paraId="317074D2" w14:textId="34F92343"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C76A68">
        <w:rPr>
          <w:rFonts w:ascii="Arial" w:hAnsi="Arial" w:cs="Arial"/>
          <w:b w:val="0"/>
          <w:smallCaps w:val="0"/>
          <w:sz w:val="22"/>
          <w:szCs w:val="22"/>
        </w:rPr>
        <w:t xml:space="preserve">The actuarial assumptions used in the December 31, </w:t>
      </w:r>
      <w:r w:rsidRPr="00EA3FBC">
        <w:rPr>
          <w:rFonts w:ascii="Arial" w:hAnsi="Arial" w:cs="Arial"/>
          <w:b w:val="0"/>
          <w:smallCaps w:val="0"/>
          <w:sz w:val="22"/>
          <w:szCs w:val="22"/>
        </w:rPr>
        <w:t>2020</w:t>
      </w:r>
      <w:r w:rsidRPr="00C76A68">
        <w:rPr>
          <w:rFonts w:ascii="Arial" w:hAnsi="Arial" w:cs="Arial"/>
          <w:b w:val="0"/>
          <w:smallCaps w:val="0"/>
          <w:sz w:val="22"/>
          <w:szCs w:val="22"/>
        </w:rPr>
        <w:t xml:space="preserve"> valuations were </w:t>
      </w:r>
      <w:r w:rsidRPr="00F34E2E">
        <w:rPr>
          <w:rFonts w:ascii="Arial" w:hAnsi="Arial" w:cs="Arial"/>
          <w:b w:val="0"/>
          <w:smallCaps w:val="0"/>
          <w:sz w:val="22"/>
          <w:szCs w:val="22"/>
        </w:rPr>
        <w:t>generally</w:t>
      </w:r>
      <w:r w:rsidRPr="00C76A68">
        <w:rPr>
          <w:rFonts w:ascii="Arial" w:hAnsi="Arial" w:cs="Arial"/>
          <w:b w:val="0"/>
          <w:smallCaps w:val="0"/>
          <w:sz w:val="22"/>
          <w:szCs w:val="22"/>
        </w:rPr>
        <w:t xml:space="preserve"> based on the results of an actuarial experience study prepared as of </w:t>
      </w:r>
      <w:r w:rsidR="00803B22">
        <w:rPr>
          <w:rFonts w:ascii="Arial" w:hAnsi="Arial" w:cs="Arial"/>
          <w:b w:val="0"/>
          <w:smallCaps w:val="0"/>
          <w:sz w:val="22"/>
          <w:szCs w:val="22"/>
        </w:rPr>
        <w:br/>
      </w:r>
      <w:r w:rsidRPr="00C76A68">
        <w:rPr>
          <w:rFonts w:ascii="Arial" w:hAnsi="Arial" w:cs="Arial"/>
          <w:b w:val="0"/>
          <w:smallCaps w:val="0"/>
          <w:sz w:val="22"/>
          <w:szCs w:val="22"/>
        </w:rPr>
        <w:t xml:space="preserve">December 31, </w:t>
      </w:r>
      <w:r w:rsidRPr="008E0373">
        <w:rPr>
          <w:rFonts w:ascii="Arial" w:hAnsi="Arial" w:cs="Arial"/>
          <w:b w:val="0"/>
          <w:smallCaps w:val="0"/>
          <w:sz w:val="22"/>
          <w:szCs w:val="22"/>
          <w:highlight w:val="yellow"/>
        </w:rPr>
        <w:t>201</w:t>
      </w:r>
      <w:r w:rsidR="008E0373" w:rsidRPr="008E0373">
        <w:rPr>
          <w:rFonts w:ascii="Arial" w:hAnsi="Arial" w:cs="Arial"/>
          <w:b w:val="0"/>
          <w:smallCaps w:val="0"/>
          <w:sz w:val="22"/>
          <w:szCs w:val="22"/>
          <w:highlight w:val="yellow"/>
        </w:rPr>
        <w:t>9</w:t>
      </w:r>
      <w:r w:rsidRPr="00C76A68">
        <w:rPr>
          <w:rFonts w:ascii="Arial" w:hAnsi="Arial" w:cs="Arial"/>
          <w:b w:val="0"/>
          <w:smallCaps w:val="0"/>
          <w:sz w:val="22"/>
          <w:szCs w:val="22"/>
        </w:rPr>
        <w:t xml:space="preserve">, </w:t>
      </w:r>
      <w:r w:rsidRPr="00F34E2E">
        <w:rPr>
          <w:rFonts w:ascii="Arial" w:hAnsi="Arial" w:cs="Arial"/>
          <w:b w:val="0"/>
          <w:smallCaps w:val="0"/>
          <w:sz w:val="22"/>
          <w:szCs w:val="22"/>
        </w:rPr>
        <w:t>as amended for updates to certain assumptions (such as the long-term investment return, medical claims, and medical trend rate assumptions) implemented based on annual reviews that have occurred since that experience study.</w:t>
      </w:r>
      <w:r w:rsidRPr="00641103">
        <w:rPr>
          <w:rFonts w:ascii="Arial" w:hAnsi="Arial" w:cs="Arial"/>
          <w:b w:val="0"/>
          <w:smallCaps w:val="0"/>
          <w:sz w:val="22"/>
          <w:szCs w:val="22"/>
        </w:rPr>
        <w:t xml:space="preserve"> </w:t>
      </w:r>
    </w:p>
    <w:p w14:paraId="423E6F62" w14:textId="55E68094"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i/>
          <w:smallCaps w:val="0"/>
          <w:sz w:val="22"/>
          <w:szCs w:val="22"/>
        </w:rPr>
        <w:t>Discount Rate:</w:t>
      </w:r>
      <w:r w:rsidRPr="00641103">
        <w:rPr>
          <w:rFonts w:ascii="Arial" w:hAnsi="Arial" w:cs="Arial"/>
          <w:b w:val="0"/>
          <w:smallCaps w:val="0"/>
          <w:sz w:val="22"/>
          <w:szCs w:val="22"/>
        </w:rPr>
        <w:t xml:space="preserve"> The discount rate used to measure the total OPEB liability for RHBF </w:t>
      </w:r>
      <w:r w:rsidRPr="00EA3FBC">
        <w:rPr>
          <w:rFonts w:ascii="Arial" w:hAnsi="Arial" w:cs="Arial"/>
          <w:b w:val="0"/>
          <w:smallCaps w:val="0"/>
          <w:sz w:val="22"/>
          <w:szCs w:val="22"/>
        </w:rPr>
        <w:t xml:space="preserve">was </w:t>
      </w:r>
      <w:r w:rsidRPr="00436481">
        <w:rPr>
          <w:rFonts w:ascii="Arial" w:hAnsi="Arial" w:cs="Arial"/>
          <w:b w:val="0"/>
          <w:smallCaps w:val="0"/>
          <w:sz w:val="22"/>
          <w:szCs w:val="22"/>
          <w:highlight w:val="yellow"/>
        </w:rPr>
        <w:t>2.</w:t>
      </w:r>
      <w:r w:rsidR="00436481" w:rsidRPr="00436481">
        <w:rPr>
          <w:rFonts w:ascii="Arial" w:hAnsi="Arial" w:cs="Arial"/>
          <w:b w:val="0"/>
          <w:smallCaps w:val="0"/>
          <w:sz w:val="22"/>
          <w:szCs w:val="22"/>
          <w:highlight w:val="yellow"/>
        </w:rPr>
        <w:t>16% at June 30, 2021 compared to 2.21</w:t>
      </w:r>
      <w:r w:rsidRPr="00436481">
        <w:rPr>
          <w:rFonts w:ascii="Arial" w:hAnsi="Arial" w:cs="Arial"/>
          <w:b w:val="0"/>
          <w:smallCaps w:val="0"/>
          <w:sz w:val="22"/>
          <w:szCs w:val="22"/>
          <w:highlight w:val="yellow"/>
        </w:rPr>
        <w:t>%</w:t>
      </w:r>
      <w:r w:rsidR="00436481" w:rsidRPr="00436481">
        <w:rPr>
          <w:rFonts w:ascii="Arial" w:hAnsi="Arial" w:cs="Arial"/>
          <w:b w:val="0"/>
          <w:smallCaps w:val="0"/>
          <w:sz w:val="22"/>
          <w:szCs w:val="22"/>
          <w:highlight w:val="yellow"/>
        </w:rPr>
        <w:t xml:space="preserve"> at June 30, 2020</w:t>
      </w:r>
      <w:r w:rsidRPr="00EA3FBC">
        <w:rPr>
          <w:rFonts w:ascii="Arial" w:hAnsi="Arial" w:cs="Arial"/>
          <w:b w:val="0"/>
          <w:smallCaps w:val="0"/>
          <w:sz w:val="22"/>
          <w:szCs w:val="22"/>
        </w:rPr>
        <w:t xml:space="preserve">. The projection of cash flows used to determine the discount rate assumed that contributions from employers </w:t>
      </w:r>
      <w:r w:rsidRPr="00643A19">
        <w:rPr>
          <w:rFonts w:ascii="Arial" w:hAnsi="Arial" w:cs="Arial"/>
          <w:b w:val="0"/>
          <w:smallCaps w:val="0"/>
          <w:sz w:val="22"/>
          <w:szCs w:val="22"/>
          <w:highlight w:val="yellow"/>
        </w:rPr>
        <w:t>w</w:t>
      </w:r>
      <w:r w:rsidR="00643A19" w:rsidRPr="00643A19">
        <w:rPr>
          <w:rFonts w:ascii="Arial" w:hAnsi="Arial" w:cs="Arial"/>
          <w:b w:val="0"/>
          <w:smallCaps w:val="0"/>
          <w:sz w:val="22"/>
          <w:szCs w:val="22"/>
          <w:highlight w:val="yellow"/>
        </w:rPr>
        <w:t>ould</w:t>
      </w:r>
      <w:r w:rsidRPr="00EA3FBC">
        <w:rPr>
          <w:rFonts w:ascii="Arial" w:hAnsi="Arial" w:cs="Arial"/>
          <w:b w:val="0"/>
          <w:smallCaps w:val="0"/>
          <w:sz w:val="22"/>
          <w:szCs w:val="22"/>
        </w:rPr>
        <w:t xml:space="preserve"> be made at the current statutorily determined contribution rate. Based on the above assumptions, the plan’s fiduciary net position was not projected to be available to make projected future benefit payments </w:t>
      </w:r>
      <w:r w:rsidR="00436481" w:rsidRPr="00436481">
        <w:rPr>
          <w:rFonts w:ascii="Arial" w:hAnsi="Arial" w:cs="Arial"/>
          <w:b w:val="0"/>
          <w:smallCaps w:val="0"/>
          <w:sz w:val="22"/>
          <w:szCs w:val="22"/>
          <w:highlight w:val="yellow"/>
        </w:rPr>
        <w:t>to</w:t>
      </w:r>
      <w:r w:rsidRPr="00EA3FBC">
        <w:rPr>
          <w:rFonts w:ascii="Arial" w:hAnsi="Arial" w:cs="Arial"/>
          <w:b w:val="0"/>
          <w:smallCaps w:val="0"/>
          <w:sz w:val="22"/>
          <w:szCs w:val="22"/>
        </w:rPr>
        <w:t xml:space="preserve"> current plan members. As a result, a municipal bond rate of </w:t>
      </w:r>
      <w:r w:rsidRPr="00436481">
        <w:rPr>
          <w:rFonts w:ascii="Arial" w:hAnsi="Arial" w:cs="Arial"/>
          <w:b w:val="0"/>
          <w:smallCaps w:val="0"/>
          <w:sz w:val="22"/>
          <w:szCs w:val="22"/>
          <w:highlight w:val="yellow"/>
        </w:rPr>
        <w:t>2.</w:t>
      </w:r>
      <w:r w:rsidR="00436481" w:rsidRPr="00436481">
        <w:rPr>
          <w:rFonts w:ascii="Arial" w:hAnsi="Arial" w:cs="Arial"/>
          <w:b w:val="0"/>
          <w:smallCaps w:val="0"/>
          <w:sz w:val="22"/>
          <w:szCs w:val="22"/>
          <w:highlight w:val="yellow"/>
        </w:rPr>
        <w:t>16</w:t>
      </w:r>
      <w:r w:rsidRPr="00436481">
        <w:rPr>
          <w:rFonts w:ascii="Arial" w:hAnsi="Arial" w:cs="Arial"/>
          <w:b w:val="0"/>
          <w:smallCaps w:val="0"/>
          <w:sz w:val="22"/>
          <w:szCs w:val="22"/>
          <w:highlight w:val="yellow"/>
        </w:rPr>
        <w:t>%</w:t>
      </w:r>
      <w:r w:rsidRPr="00EA3FBC">
        <w:rPr>
          <w:rFonts w:ascii="Arial" w:hAnsi="Arial" w:cs="Arial"/>
          <w:b w:val="0"/>
          <w:smallCaps w:val="0"/>
          <w:sz w:val="22"/>
          <w:szCs w:val="22"/>
        </w:rPr>
        <w:t xml:space="preserve"> was used as the discount rate used to measure the total OPEB liability. The </w:t>
      </w:r>
      <w:r w:rsidRPr="00436481">
        <w:rPr>
          <w:rFonts w:ascii="Arial" w:hAnsi="Arial" w:cs="Arial"/>
          <w:b w:val="0"/>
          <w:smallCaps w:val="0"/>
          <w:sz w:val="22"/>
          <w:szCs w:val="22"/>
          <w:highlight w:val="yellow"/>
        </w:rPr>
        <w:t>2.</w:t>
      </w:r>
      <w:r w:rsidR="00436481" w:rsidRPr="00436481">
        <w:rPr>
          <w:rFonts w:ascii="Arial" w:hAnsi="Arial" w:cs="Arial"/>
          <w:b w:val="0"/>
          <w:smallCaps w:val="0"/>
          <w:sz w:val="22"/>
          <w:szCs w:val="22"/>
          <w:highlight w:val="yellow"/>
        </w:rPr>
        <w:t>16</w:t>
      </w:r>
      <w:r w:rsidRPr="00436481">
        <w:rPr>
          <w:rFonts w:ascii="Arial" w:hAnsi="Arial" w:cs="Arial"/>
          <w:b w:val="0"/>
          <w:smallCaps w:val="0"/>
          <w:sz w:val="22"/>
          <w:szCs w:val="22"/>
          <w:highlight w:val="yellow"/>
        </w:rPr>
        <w:t>%</w:t>
      </w:r>
      <w:r w:rsidRPr="00641103">
        <w:rPr>
          <w:rFonts w:ascii="Arial" w:hAnsi="Arial" w:cs="Arial"/>
          <w:b w:val="0"/>
          <w:smallCaps w:val="0"/>
          <w:sz w:val="22"/>
          <w:szCs w:val="22"/>
        </w:rPr>
        <w:t xml:space="preserve"> rate is based on the Bond Buyer 20-year General Obligation Index as of June 30, </w:t>
      </w:r>
      <w:r>
        <w:rPr>
          <w:rFonts w:ascii="Arial" w:hAnsi="Arial" w:cs="Arial"/>
          <w:b w:val="0"/>
          <w:smallCaps w:val="0"/>
          <w:sz w:val="22"/>
          <w:szCs w:val="22"/>
        </w:rPr>
        <w:t>2021</w:t>
      </w:r>
      <w:r w:rsidRPr="00641103">
        <w:rPr>
          <w:rFonts w:ascii="Arial" w:hAnsi="Arial" w:cs="Arial"/>
          <w:b w:val="0"/>
          <w:smallCaps w:val="0"/>
          <w:sz w:val="22"/>
          <w:szCs w:val="22"/>
        </w:rPr>
        <w:t xml:space="preserve">. </w:t>
      </w:r>
    </w:p>
    <w:p w14:paraId="7043ED4C" w14:textId="20B7E9F5"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31596E">
        <w:rPr>
          <w:rFonts w:ascii="Arial" w:hAnsi="Arial" w:cs="Arial"/>
          <w:b w:val="0"/>
          <w:smallCaps w:val="0"/>
          <w:sz w:val="22"/>
          <w:szCs w:val="22"/>
        </w:rPr>
        <w:t xml:space="preserve">The discount rate used to measure the total OPEB liability for DIPNC was </w:t>
      </w:r>
      <w:r w:rsidRPr="00436481">
        <w:rPr>
          <w:rFonts w:ascii="Arial" w:hAnsi="Arial" w:cs="Arial"/>
          <w:b w:val="0"/>
          <w:smallCaps w:val="0"/>
          <w:sz w:val="22"/>
          <w:szCs w:val="22"/>
          <w:highlight w:val="yellow"/>
        </w:rPr>
        <w:t>3.</w:t>
      </w:r>
      <w:r w:rsidR="00436481" w:rsidRPr="00436481">
        <w:rPr>
          <w:rFonts w:ascii="Arial" w:hAnsi="Arial" w:cs="Arial"/>
          <w:b w:val="0"/>
          <w:smallCaps w:val="0"/>
          <w:sz w:val="22"/>
          <w:szCs w:val="22"/>
          <w:highlight w:val="yellow"/>
        </w:rPr>
        <w:t>00</w:t>
      </w:r>
      <w:r w:rsidRPr="00436481">
        <w:rPr>
          <w:rFonts w:ascii="Arial" w:hAnsi="Arial" w:cs="Arial"/>
          <w:b w:val="0"/>
          <w:smallCaps w:val="0"/>
          <w:sz w:val="22"/>
          <w:szCs w:val="22"/>
          <w:highlight w:val="yellow"/>
        </w:rPr>
        <w:t>%</w:t>
      </w:r>
      <w:r w:rsidRPr="0031596E">
        <w:rPr>
          <w:rFonts w:ascii="Arial" w:hAnsi="Arial" w:cs="Arial"/>
          <w:b w:val="0"/>
          <w:smallCaps w:val="0"/>
          <w:sz w:val="22"/>
          <w:szCs w:val="22"/>
        </w:rPr>
        <w:t xml:space="preserve">. The projection of cash flows used to determine the discount rate assumed that contributions from plan members </w:t>
      </w:r>
      <w:r w:rsidRPr="00436481">
        <w:rPr>
          <w:rFonts w:ascii="Arial" w:hAnsi="Arial" w:cs="Arial"/>
          <w:b w:val="0"/>
          <w:smallCaps w:val="0"/>
          <w:sz w:val="22"/>
          <w:szCs w:val="22"/>
          <w:highlight w:val="yellow"/>
        </w:rPr>
        <w:t>w</w:t>
      </w:r>
      <w:r w:rsidR="00436481" w:rsidRPr="00436481">
        <w:rPr>
          <w:rFonts w:ascii="Arial" w:hAnsi="Arial" w:cs="Arial"/>
          <w:b w:val="0"/>
          <w:smallCaps w:val="0"/>
          <w:sz w:val="22"/>
          <w:szCs w:val="22"/>
          <w:highlight w:val="yellow"/>
        </w:rPr>
        <w:t>ould</w:t>
      </w:r>
      <w:r w:rsidRPr="0031596E">
        <w:rPr>
          <w:rFonts w:ascii="Arial" w:hAnsi="Arial" w:cs="Arial"/>
          <w:b w:val="0"/>
          <w:smallCaps w:val="0"/>
          <w:sz w:val="22"/>
          <w:szCs w:val="22"/>
        </w:rPr>
        <w:t xml:space="preserve"> be made at the current contribution rate and that contributions from employers </w:t>
      </w:r>
      <w:r w:rsidRPr="00436481">
        <w:rPr>
          <w:rFonts w:ascii="Arial" w:hAnsi="Arial" w:cs="Arial"/>
          <w:b w:val="0"/>
          <w:smallCaps w:val="0"/>
          <w:sz w:val="22"/>
          <w:szCs w:val="22"/>
          <w:highlight w:val="yellow"/>
        </w:rPr>
        <w:t>w</w:t>
      </w:r>
      <w:r w:rsidR="00436481" w:rsidRPr="00436481">
        <w:rPr>
          <w:rFonts w:ascii="Arial" w:hAnsi="Arial" w:cs="Arial"/>
          <w:b w:val="0"/>
          <w:smallCaps w:val="0"/>
          <w:sz w:val="22"/>
          <w:szCs w:val="22"/>
          <w:highlight w:val="yellow"/>
        </w:rPr>
        <w:t>ould</w:t>
      </w:r>
      <w:r w:rsidRPr="0031596E">
        <w:rPr>
          <w:rFonts w:ascii="Arial" w:hAnsi="Arial" w:cs="Arial"/>
          <w:b w:val="0"/>
          <w:smallCaps w:val="0"/>
          <w:sz w:val="22"/>
          <w:szCs w:val="22"/>
        </w:rPr>
        <w:t xml:space="preserve"> be made at statutorily required rates, actuarially determined. Based on those assumptions, the plan’s fiduciary net position was projected to be available to make all projected future benefit payments </w:t>
      </w:r>
      <w:r w:rsidR="00436481" w:rsidRPr="00436481">
        <w:rPr>
          <w:rFonts w:ascii="Arial" w:hAnsi="Arial" w:cs="Arial"/>
          <w:b w:val="0"/>
          <w:smallCaps w:val="0"/>
          <w:sz w:val="22"/>
          <w:szCs w:val="22"/>
          <w:highlight w:val="yellow"/>
        </w:rPr>
        <w:t>to</w:t>
      </w:r>
      <w:r w:rsidRPr="0031596E">
        <w:rPr>
          <w:rFonts w:ascii="Arial" w:hAnsi="Arial" w:cs="Arial"/>
          <w:b w:val="0"/>
          <w:smallCaps w:val="0"/>
          <w:sz w:val="22"/>
          <w:szCs w:val="22"/>
        </w:rPr>
        <w:t xml:space="preserve"> the current plan members. Therefore, the long-term expected rate of return on plan investments was applied to all periods of projected benefit payments to determine the total OPEB liability.</w:t>
      </w:r>
      <w:r w:rsidRPr="00641103">
        <w:rPr>
          <w:rFonts w:ascii="Arial" w:hAnsi="Arial" w:cs="Arial"/>
          <w:b w:val="0"/>
          <w:smallCaps w:val="0"/>
          <w:sz w:val="22"/>
          <w:szCs w:val="22"/>
        </w:rPr>
        <w:t xml:space="preserve"> </w:t>
      </w:r>
    </w:p>
    <w:p w14:paraId="78F36F9F" w14:textId="77777777"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i/>
          <w:smallCaps w:val="0"/>
          <w:sz w:val="22"/>
          <w:szCs w:val="22"/>
        </w:rPr>
        <w:t>Sensitivity of the Net OPEB Liability (Asset) to Changes in the Discount Rate:</w:t>
      </w:r>
      <w:r w:rsidRPr="00641103">
        <w:rPr>
          <w:rFonts w:ascii="Arial" w:hAnsi="Arial" w:cs="Arial"/>
          <w:b w:val="0"/>
          <w:smallCaps w:val="0"/>
          <w:sz w:val="22"/>
          <w:szCs w:val="22"/>
        </w:rPr>
        <w:t xml:space="preserve"> The following presents the College’s proportionate share of the net OPEB liability (asset) of the plans, as well as what the plans’ net OPEB liability (asset) would be if it were calculated using a discount rate that is 1-percentage point lower or 1-percentage point higher than the current discount rate:</w:t>
      </w:r>
    </w:p>
    <w:bookmarkStart w:id="328" w:name="_Hlk92204830"/>
    <w:bookmarkStart w:id="329" w:name="_MON_1582024488"/>
    <w:bookmarkEnd w:id="329"/>
    <w:p w14:paraId="2E0E2012" w14:textId="51707C18" w:rsidR="005558B6" w:rsidRPr="007D42A9" w:rsidRDefault="00436481" w:rsidP="00A66832">
      <w:pPr>
        <w:pStyle w:val="Note10"/>
        <w:tabs>
          <w:tab w:val="clear" w:pos="1080"/>
          <w:tab w:val="clear" w:pos="1440"/>
        </w:tabs>
        <w:spacing w:before="0"/>
        <w:ind w:left="720"/>
        <w:jc w:val="center"/>
        <w:rPr>
          <w:rFonts w:ascii="Arial" w:hAnsi="Arial" w:cs="Arial"/>
          <w:b w:val="0"/>
          <w:i/>
          <w:smallCaps w:val="0"/>
          <w:sz w:val="22"/>
          <w:szCs w:val="22"/>
          <w:highlight w:val="yellow"/>
        </w:rPr>
      </w:pPr>
      <w:r w:rsidRPr="00642CEE">
        <w:rPr>
          <w:rFonts w:ascii="Arial" w:hAnsi="Arial" w:cs="Arial"/>
          <w:i/>
        </w:rPr>
        <w:object w:dxaOrig="7497" w:dyaOrig="1993" w14:anchorId="248CFFB9">
          <v:shape id="_x0000_i1052" type="#_x0000_t75" style="width:331.5pt;height:100.5pt" o:ole="">
            <v:imagedata r:id="rId70" o:title=""/>
          </v:shape>
          <o:OLEObject Type="Embed" ProgID="Excel.Sheet.12" ShapeID="_x0000_i1052" DrawAspect="Content" ObjectID="_1721553197" r:id="rId71"/>
        </w:object>
      </w:r>
      <w:bookmarkEnd w:id="328"/>
    </w:p>
    <w:p w14:paraId="6EF12F5F" w14:textId="77777777" w:rsidR="005558B6" w:rsidRPr="00641103" w:rsidRDefault="005558B6" w:rsidP="00A66832">
      <w:pPr>
        <w:pStyle w:val="Note10"/>
        <w:tabs>
          <w:tab w:val="clear" w:pos="1080"/>
        </w:tabs>
        <w:spacing w:before="0"/>
        <w:ind w:left="720"/>
        <w:jc w:val="both"/>
        <w:rPr>
          <w:rFonts w:ascii="Arial" w:hAnsi="Arial" w:cs="Arial"/>
          <w:b w:val="0"/>
          <w:smallCaps w:val="0"/>
          <w:sz w:val="22"/>
          <w:szCs w:val="22"/>
        </w:rPr>
      </w:pPr>
      <w:r w:rsidRPr="00641103">
        <w:rPr>
          <w:rFonts w:ascii="Arial" w:hAnsi="Arial" w:cs="Arial"/>
          <w:b w:val="0"/>
          <w:i/>
          <w:smallCaps w:val="0"/>
          <w:sz w:val="22"/>
          <w:szCs w:val="22"/>
        </w:rPr>
        <w:t>Sensitivity of the Net OPEB Liability (Asset) to Changes in the Healthcare Cost Trend Rates:</w:t>
      </w:r>
      <w:r w:rsidRPr="00641103">
        <w:rPr>
          <w:rFonts w:ascii="Arial" w:hAnsi="Arial" w:cs="Arial"/>
          <w:b w:val="0"/>
          <w:smallCaps w:val="0"/>
          <w:sz w:val="22"/>
          <w:szCs w:val="22"/>
        </w:rPr>
        <w:t xml:space="preserve"> The following presents the net OPEB liability (asset) of the plans, as well as </w:t>
      </w:r>
      <w:r w:rsidRPr="00641103">
        <w:rPr>
          <w:rFonts w:ascii="Arial" w:hAnsi="Arial" w:cs="Arial"/>
          <w:b w:val="0"/>
          <w:smallCaps w:val="0"/>
          <w:sz w:val="22"/>
          <w:szCs w:val="22"/>
        </w:rPr>
        <w:lastRenderedPageBreak/>
        <w:t>what the plans’ net OPEB liability (asset) would be if it were calculated using healthcare cost trend rates that are 1-p</w:t>
      </w:r>
      <w:r>
        <w:rPr>
          <w:rFonts w:ascii="Arial" w:hAnsi="Arial" w:cs="Arial"/>
          <w:b w:val="0"/>
          <w:smallCaps w:val="0"/>
          <w:sz w:val="22"/>
          <w:szCs w:val="22"/>
        </w:rPr>
        <w:t>e</w:t>
      </w:r>
      <w:r w:rsidRPr="00641103">
        <w:rPr>
          <w:rFonts w:ascii="Arial" w:hAnsi="Arial" w:cs="Arial"/>
          <w:b w:val="0"/>
          <w:smallCaps w:val="0"/>
          <w:sz w:val="22"/>
          <w:szCs w:val="22"/>
        </w:rPr>
        <w:t>rcentage point lower or 1-percentage point higher than the current healthcare cost trend rates:</w:t>
      </w:r>
    </w:p>
    <w:bookmarkStart w:id="330" w:name="_MON_1624780021"/>
    <w:bookmarkEnd w:id="330"/>
    <w:p w14:paraId="35B351BD" w14:textId="64A6F36C" w:rsidR="005558B6" w:rsidRPr="007D42A9" w:rsidRDefault="00436481" w:rsidP="00A66832">
      <w:pPr>
        <w:pStyle w:val="Note10"/>
        <w:tabs>
          <w:tab w:val="clear" w:pos="1080"/>
        </w:tabs>
        <w:spacing w:before="0"/>
        <w:ind w:left="720"/>
        <w:rPr>
          <w:rFonts w:ascii="Arial" w:hAnsi="Arial" w:cs="Arial"/>
          <w:b w:val="0"/>
          <w:smallCaps w:val="0"/>
          <w:sz w:val="22"/>
          <w:szCs w:val="22"/>
          <w:highlight w:val="yellow"/>
        </w:rPr>
      </w:pPr>
      <w:r w:rsidRPr="00642CEE">
        <w:rPr>
          <w:rFonts w:ascii="Arial" w:hAnsi="Arial" w:cs="Arial"/>
        </w:rPr>
        <w:object w:dxaOrig="10424" w:dyaOrig="4285" w14:anchorId="503B18C0">
          <v:shape id="_x0000_i1053" type="#_x0000_t75" style="width:388.5pt;height:180pt" o:ole="">
            <v:imagedata r:id="rId72" o:title=""/>
            <o:lock v:ext="edit" aspectratio="f"/>
          </v:shape>
          <o:OLEObject Type="Embed" ProgID="Excel.Sheet.12" ShapeID="_x0000_i1053" DrawAspect="Content" ObjectID="_1721553198" r:id="rId73"/>
        </w:object>
      </w:r>
    </w:p>
    <w:p w14:paraId="3B538DD0" w14:textId="77777777" w:rsidR="005558B6" w:rsidRPr="00EA3FBC" w:rsidRDefault="005558B6" w:rsidP="00A66832">
      <w:pPr>
        <w:pStyle w:val="Note10"/>
        <w:tabs>
          <w:tab w:val="clear" w:pos="1080"/>
        </w:tabs>
        <w:spacing w:before="0"/>
        <w:ind w:left="720"/>
        <w:jc w:val="both"/>
        <w:rPr>
          <w:rFonts w:ascii="Arial" w:hAnsi="Arial" w:cs="Arial"/>
          <w:b w:val="0"/>
          <w:smallCaps w:val="0"/>
          <w:sz w:val="22"/>
          <w:szCs w:val="22"/>
        </w:rPr>
      </w:pPr>
      <w:r w:rsidRPr="00EA3FBC">
        <w:rPr>
          <w:rFonts w:ascii="Arial" w:hAnsi="Arial" w:cs="Arial"/>
          <w:b w:val="0"/>
          <w:i/>
          <w:smallCaps w:val="0"/>
          <w:sz w:val="22"/>
          <w:szCs w:val="22"/>
        </w:rPr>
        <w:t>OPEB Expense:</w:t>
      </w:r>
      <w:r w:rsidRPr="00EA3FBC">
        <w:rPr>
          <w:rFonts w:ascii="Arial" w:hAnsi="Arial" w:cs="Arial"/>
          <w:b w:val="0"/>
          <w:smallCaps w:val="0"/>
          <w:sz w:val="22"/>
          <w:szCs w:val="22"/>
        </w:rPr>
        <w:t xml:space="preserve"> For the fiscal year ended June 30, 2022, the College recognized OPEB expense as follows:</w:t>
      </w:r>
    </w:p>
    <w:bookmarkStart w:id="331" w:name="_MON_1679984219"/>
    <w:bookmarkEnd w:id="331"/>
    <w:bookmarkStart w:id="332" w:name="_MON_1680325119"/>
    <w:bookmarkEnd w:id="332"/>
    <w:p w14:paraId="0F74295A" w14:textId="77777777" w:rsidR="005558B6" w:rsidRDefault="005558B6" w:rsidP="00A66832">
      <w:pPr>
        <w:pStyle w:val="Note10"/>
        <w:tabs>
          <w:tab w:val="clear" w:pos="1080"/>
        </w:tabs>
        <w:spacing w:before="0"/>
        <w:ind w:left="720"/>
        <w:jc w:val="center"/>
        <w:rPr>
          <w:rFonts w:ascii="Arial" w:hAnsi="Arial" w:cs="Arial"/>
          <w:b w:val="0"/>
          <w:smallCaps w:val="0"/>
          <w:sz w:val="22"/>
          <w:szCs w:val="22"/>
        </w:rPr>
      </w:pPr>
      <w:r w:rsidRPr="00EA3FBC">
        <w:rPr>
          <w:rFonts w:ascii="Arial" w:hAnsi="Arial" w:cs="Arial"/>
        </w:rPr>
        <w:object w:dxaOrig="4277" w:dyaOrig="1453" w14:anchorId="06314E9A">
          <v:shape id="_x0000_i1054" type="#_x0000_t75" style="width:180pt;height:1in" o:ole="">
            <v:imagedata r:id="rId74" o:title=""/>
          </v:shape>
          <o:OLEObject Type="Embed" ProgID="Excel.Sheet.12" ShapeID="_x0000_i1054" DrawAspect="Content" ObjectID="_1721553199" r:id="rId75"/>
        </w:object>
      </w:r>
    </w:p>
    <w:p w14:paraId="76630B6D" w14:textId="77777777" w:rsidR="005558B6" w:rsidRDefault="005558B6" w:rsidP="00A66832">
      <w:pPr>
        <w:pStyle w:val="Note10"/>
        <w:tabs>
          <w:tab w:val="clear" w:pos="1080"/>
        </w:tabs>
        <w:spacing w:before="0"/>
        <w:ind w:left="720"/>
        <w:jc w:val="both"/>
        <w:rPr>
          <w:rFonts w:ascii="Arial" w:hAnsi="Arial" w:cs="Arial"/>
          <w:b w:val="0"/>
          <w:smallCaps w:val="0"/>
          <w:sz w:val="22"/>
          <w:szCs w:val="22"/>
        </w:rPr>
      </w:pPr>
      <w:r w:rsidRPr="006C08DD">
        <w:rPr>
          <w:rFonts w:ascii="Arial" w:hAnsi="Arial" w:cs="Arial"/>
          <w:b w:val="0"/>
          <w:i/>
          <w:smallCaps w:val="0"/>
          <w:sz w:val="22"/>
          <w:szCs w:val="22"/>
        </w:rPr>
        <w:t>Deferred Outflows of Resources and Deferred Inflows of Resources Related to OPEB:</w:t>
      </w:r>
      <w:r w:rsidRPr="006C08DD">
        <w:rPr>
          <w:rFonts w:ascii="Arial" w:hAnsi="Arial" w:cs="Arial"/>
          <w:b w:val="0"/>
          <w:smallCaps w:val="0"/>
          <w:sz w:val="22"/>
          <w:szCs w:val="22"/>
        </w:rPr>
        <w:t xml:space="preserve"> At June 30, </w:t>
      </w:r>
      <w:r>
        <w:rPr>
          <w:rFonts w:ascii="Arial" w:hAnsi="Arial" w:cs="Arial"/>
          <w:b w:val="0"/>
          <w:smallCaps w:val="0"/>
          <w:sz w:val="22"/>
          <w:szCs w:val="22"/>
        </w:rPr>
        <w:t>2022</w:t>
      </w:r>
      <w:r w:rsidRPr="006C08DD">
        <w:rPr>
          <w:rFonts w:ascii="Arial" w:hAnsi="Arial" w:cs="Arial"/>
          <w:b w:val="0"/>
          <w:smallCaps w:val="0"/>
          <w:sz w:val="22"/>
          <w:szCs w:val="22"/>
        </w:rPr>
        <w:t>, the College reported deferred outflows of resources and deferred inflows of resources related to OPEB from the following sources:</w:t>
      </w:r>
    </w:p>
    <w:bookmarkStart w:id="333" w:name="_MON_1585655512"/>
    <w:bookmarkEnd w:id="333"/>
    <w:p w14:paraId="50BA5B78" w14:textId="77777777" w:rsidR="005558B6" w:rsidRDefault="005558B6" w:rsidP="00A66832">
      <w:pPr>
        <w:spacing w:after="240" w:line="240" w:lineRule="auto"/>
        <w:ind w:left="720"/>
        <w:jc w:val="center"/>
      </w:pPr>
      <w:r w:rsidRPr="00642CEE">
        <w:object w:dxaOrig="9014" w:dyaOrig="6286" w14:anchorId="2CA11D0C">
          <v:shape id="_x0000_i1055" type="#_x0000_t75" style="width:5in;height:280.5pt" o:ole="">
            <v:imagedata r:id="rId76" o:title=""/>
          </v:shape>
          <o:OLEObject Type="Embed" ProgID="Excel.Sheet.12" ShapeID="_x0000_i1055" DrawAspect="Content" ObjectID="_1721553200" r:id="rId77"/>
        </w:object>
      </w:r>
    </w:p>
    <w:bookmarkStart w:id="334" w:name="_MON_1585657415"/>
    <w:bookmarkEnd w:id="334"/>
    <w:p w14:paraId="1853E2A3" w14:textId="6DDEDB11" w:rsidR="005558B6" w:rsidRDefault="002D0010" w:rsidP="00A66832">
      <w:pPr>
        <w:spacing w:after="240"/>
        <w:ind w:left="720"/>
        <w:jc w:val="center"/>
      </w:pPr>
      <w:r w:rsidRPr="00642CEE">
        <w:object w:dxaOrig="9014" w:dyaOrig="5498" w14:anchorId="3BE42A8E">
          <v:shape id="_x0000_i1056" type="#_x0000_t75" style="width:5in;height:245.25pt" o:ole="">
            <v:imagedata r:id="rId78" o:title=""/>
          </v:shape>
          <o:OLEObject Type="Embed" ProgID="Excel.Sheet.12" ShapeID="_x0000_i1056" DrawAspect="Content" ObjectID="_1721553201" r:id="rId79"/>
        </w:object>
      </w:r>
    </w:p>
    <w:p w14:paraId="652A4B19" w14:textId="6E021006" w:rsidR="005558B6" w:rsidRPr="00641103" w:rsidRDefault="005558B6" w:rsidP="00A66832">
      <w:pPr>
        <w:tabs>
          <w:tab w:val="left" w:pos="1800"/>
        </w:tabs>
        <w:spacing w:after="240" w:line="240" w:lineRule="auto"/>
        <w:ind w:left="720"/>
        <w:jc w:val="both"/>
        <w:rPr>
          <w:rFonts w:ascii="Arial" w:hAnsi="Arial"/>
          <w:b/>
          <w:i/>
          <w:color w:val="0000FF"/>
        </w:rPr>
      </w:pPr>
      <w:bookmarkStart w:id="335" w:name="_MON_1585655512"/>
      <w:bookmarkStart w:id="336" w:name="_MON_1585657415"/>
      <w:bookmarkEnd w:id="335"/>
      <w:bookmarkEnd w:id="336"/>
      <w:r w:rsidRPr="00641103">
        <w:rPr>
          <w:rFonts w:ascii="Arial" w:eastAsia="Times New Roman" w:hAnsi="Arial" w:cs="Arial"/>
        </w:rPr>
        <w:t xml:space="preserve">Amounts reported as deferred outflows of resources related to contributions subsequent to the measurement date will be recognized as a reduction of the net OPEB liability related to RHBF and an increase of the net OPEB asset related to DIPNC in the fiscal year </w:t>
      </w:r>
      <w:r w:rsidRPr="00EA3FBC">
        <w:rPr>
          <w:rFonts w:ascii="Arial" w:eastAsia="Times New Roman" w:hAnsi="Arial" w:cs="Arial"/>
          <w:highlight w:val="yellow"/>
        </w:rPr>
        <w:t>ending</w:t>
      </w:r>
      <w:r w:rsidRPr="00A43AC5">
        <w:rPr>
          <w:rFonts w:ascii="Arial" w:eastAsia="Times New Roman" w:hAnsi="Arial" w:cs="Arial"/>
          <w:color w:val="FF0000"/>
        </w:rPr>
        <w:t xml:space="preserve"> </w:t>
      </w:r>
      <w:r w:rsidRPr="00641103">
        <w:rPr>
          <w:rFonts w:ascii="Arial" w:eastAsia="Times New Roman" w:hAnsi="Arial" w:cs="Arial"/>
        </w:rPr>
        <w:t xml:space="preserve">June 30, </w:t>
      </w:r>
      <w:r>
        <w:rPr>
          <w:rFonts w:ascii="Arial" w:eastAsia="Times New Roman" w:hAnsi="Arial" w:cs="Arial"/>
        </w:rPr>
        <w:t>2023</w:t>
      </w:r>
      <w:r w:rsidRPr="00641103">
        <w:rPr>
          <w:rFonts w:ascii="Arial" w:eastAsia="Times New Roman" w:hAnsi="Arial" w:cs="Arial"/>
        </w:rPr>
        <w:t>.</w:t>
      </w:r>
      <w:r w:rsidRPr="00641103">
        <w:rPr>
          <w:rFonts w:ascii="Arial" w:hAnsi="Arial"/>
        </w:rPr>
        <w:t xml:space="preserve"> Other amounts reported as deferred outflows of resources and deferred inflows of resources related to OPEB will be recognized </w:t>
      </w:r>
      <w:r w:rsidR="00436481" w:rsidRPr="00436481">
        <w:rPr>
          <w:rFonts w:ascii="Arial" w:hAnsi="Arial"/>
          <w:highlight w:val="yellow"/>
        </w:rPr>
        <w:t>as</w:t>
      </w:r>
      <w:r w:rsidRPr="00641103">
        <w:rPr>
          <w:rFonts w:ascii="Arial" w:hAnsi="Arial"/>
        </w:rPr>
        <w:t xml:space="preserve"> OPEB expense as follows: </w:t>
      </w:r>
    </w:p>
    <w:bookmarkStart w:id="337" w:name="_MON_1585658229"/>
    <w:bookmarkEnd w:id="337"/>
    <w:p w14:paraId="228FEDA7" w14:textId="0E762B67" w:rsidR="005558B6" w:rsidRPr="009F00FF" w:rsidRDefault="0088342F" w:rsidP="00A66832">
      <w:pPr>
        <w:tabs>
          <w:tab w:val="left" w:pos="1800"/>
        </w:tabs>
        <w:spacing w:after="240" w:line="240" w:lineRule="auto"/>
        <w:ind w:left="720"/>
        <w:jc w:val="center"/>
        <w:rPr>
          <w:rFonts w:ascii="Arial" w:hAnsi="Arial" w:cs="Arial"/>
        </w:rPr>
      </w:pPr>
      <w:r w:rsidRPr="005B3903">
        <w:rPr>
          <w:rFonts w:ascii="Arial" w:hAnsi="Arial" w:cs="Arial"/>
        </w:rPr>
        <w:object w:dxaOrig="6050" w:dyaOrig="3911" w14:anchorId="3B415138">
          <v:shape id="_x0000_i1057" type="#_x0000_t75" style="width:252pt;height:180pt" o:ole="">
            <v:imagedata r:id="rId80" o:title=""/>
          </v:shape>
          <o:OLEObject Type="Embed" ProgID="Excel.Sheet.12" ShapeID="_x0000_i1057" DrawAspect="Content" ObjectID="_1721553202" r:id="rId81"/>
        </w:object>
      </w:r>
    </w:p>
    <w:p w14:paraId="069CE4E8"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16</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Risk Management</w:t>
      </w:r>
    </w:p>
    <w:p w14:paraId="4C064576" w14:textId="77777777" w:rsidR="005558B6" w:rsidRPr="00641103" w:rsidRDefault="005558B6" w:rsidP="00A66832">
      <w:pPr>
        <w:spacing w:after="240" w:line="240" w:lineRule="auto"/>
        <w:jc w:val="both"/>
        <w:rPr>
          <w:rFonts w:ascii="Arial" w:eastAsia="Times New Roman" w:hAnsi="Arial" w:cs="Arial"/>
          <w:b/>
          <w:bCs/>
          <w:i/>
          <w:iCs/>
          <w:color w:val="0000FF"/>
        </w:rPr>
      </w:pPr>
      <w:r w:rsidRPr="00641103">
        <w:rPr>
          <w:rFonts w:ascii="Arial" w:eastAsia="Times New Roman" w:hAnsi="Arial" w:cs="Arial"/>
        </w:rPr>
        <w:t xml:space="preserve">The College is exposed to various risks of loss related to torts; theft of, damage to, and destruction of assets; errors and omissions; injuries to employees; and natural disasters. These exposures to loss are handled via a combination of methods, including participation in state-administered insurance programs, purchase of commercial insurance, and self-retention of certain risks. There have been no significant reductions in insurance coverage from the previous year and settled claims have not exceeded coverage in any of the past three fiscal years. </w:t>
      </w:r>
      <w:r w:rsidRPr="00641103">
        <w:rPr>
          <w:rFonts w:ascii="Arial" w:eastAsia="Times New Roman" w:hAnsi="Arial" w:cs="Arial"/>
          <w:b/>
          <w:bCs/>
          <w:i/>
          <w:iCs/>
          <w:color w:val="0000FF"/>
        </w:rPr>
        <w:t>[Revise previous sentence as necessary.]</w:t>
      </w:r>
    </w:p>
    <w:p w14:paraId="27A3AE03" w14:textId="77777777" w:rsidR="005558B6" w:rsidRPr="00641103" w:rsidRDefault="005558B6" w:rsidP="00A66832">
      <w:pPr>
        <w:numPr>
          <w:ilvl w:val="0"/>
          <w:numId w:val="26"/>
        </w:numPr>
        <w:spacing w:after="240" w:line="240" w:lineRule="auto"/>
        <w:ind w:left="360"/>
        <w:jc w:val="both"/>
        <w:rPr>
          <w:rFonts w:ascii="Arial" w:eastAsia="Times New Roman" w:hAnsi="Arial" w:cs="Arial"/>
          <w:b/>
          <w:bCs/>
          <w:iCs/>
        </w:rPr>
      </w:pPr>
      <w:r w:rsidRPr="00641103">
        <w:rPr>
          <w:rFonts w:ascii="Arial" w:eastAsia="Times New Roman" w:hAnsi="Arial" w:cs="Arial"/>
          <w:b/>
          <w:bCs/>
          <w:iCs/>
        </w:rPr>
        <w:t xml:space="preserve">Public Entity Risk Pool </w:t>
      </w:r>
    </w:p>
    <w:p w14:paraId="4D578361" w14:textId="77777777" w:rsidR="005558B6" w:rsidRPr="00641103" w:rsidRDefault="005558B6" w:rsidP="00A66832">
      <w:pPr>
        <w:spacing w:after="240" w:line="240" w:lineRule="auto"/>
        <w:ind w:left="360"/>
        <w:jc w:val="both"/>
        <w:rPr>
          <w:rFonts w:ascii="Arial" w:eastAsia="Times New Roman" w:hAnsi="Arial" w:cs="Arial"/>
          <w:b/>
          <w:bCs/>
          <w:iCs/>
        </w:rPr>
      </w:pPr>
      <w:r w:rsidRPr="00EA3FBC">
        <w:rPr>
          <w:rFonts w:ascii="Arial" w:eastAsia="Times New Roman" w:hAnsi="Arial" w:cs="Arial"/>
          <w:b/>
          <w:bCs/>
          <w:iCs/>
        </w:rPr>
        <w:t>State Public Education Property Insurance Fund</w:t>
      </w:r>
    </w:p>
    <w:p w14:paraId="3157F55C" w14:textId="2AB05FF9" w:rsidR="005558B6" w:rsidRPr="00641103" w:rsidRDefault="005558B6" w:rsidP="00A66832">
      <w:pPr>
        <w:spacing w:after="240" w:line="240" w:lineRule="auto"/>
        <w:ind w:left="360"/>
        <w:jc w:val="both"/>
        <w:rPr>
          <w:rFonts w:ascii="Arial" w:eastAsia="Times New Roman" w:hAnsi="Arial" w:cs="Arial"/>
          <w:b/>
          <w:i/>
          <w:color w:val="0000FF"/>
        </w:rPr>
      </w:pPr>
      <w:r w:rsidRPr="00641103">
        <w:rPr>
          <w:rFonts w:ascii="Arial" w:eastAsia="Times New Roman" w:hAnsi="Arial" w:cs="Arial"/>
        </w:rPr>
        <w:t xml:space="preserve">Fire and other </w:t>
      </w:r>
      <w:r w:rsidRPr="00824602">
        <w:rPr>
          <w:rFonts w:ascii="Arial" w:eastAsia="Times New Roman" w:hAnsi="Arial" w:cs="Arial"/>
        </w:rPr>
        <w:t xml:space="preserve">property losses are covered by the </w:t>
      </w:r>
      <w:r>
        <w:rPr>
          <w:rFonts w:ascii="Arial" w:eastAsia="Times New Roman" w:hAnsi="Arial" w:cs="Arial"/>
        </w:rPr>
        <w:t xml:space="preserve">State </w:t>
      </w:r>
      <w:r w:rsidRPr="00824602">
        <w:rPr>
          <w:rFonts w:ascii="Arial" w:eastAsia="Times New Roman" w:hAnsi="Arial" w:cs="Arial"/>
        </w:rPr>
        <w:t xml:space="preserve">Public </w:t>
      </w:r>
      <w:r>
        <w:rPr>
          <w:rFonts w:ascii="Arial" w:eastAsia="Times New Roman" w:hAnsi="Arial" w:cs="Arial"/>
        </w:rPr>
        <w:t>Education Property</w:t>
      </w:r>
      <w:r w:rsidRPr="00824602">
        <w:rPr>
          <w:rFonts w:ascii="Arial" w:eastAsia="Times New Roman" w:hAnsi="Arial" w:cs="Arial"/>
        </w:rPr>
        <w:t xml:space="preserve"> Insurance Fund (Fund), a state-administered public entity risk pool. The Fund is financed by premiums and interest collected through membership participation and retains a </w:t>
      </w:r>
      <w:r w:rsidRPr="00F34E2E">
        <w:rPr>
          <w:rFonts w:ascii="Arial" w:eastAsia="Times New Roman" w:hAnsi="Arial" w:cs="Arial"/>
        </w:rPr>
        <w:t>$10,000,000</w:t>
      </w:r>
      <w:r w:rsidRPr="00824602">
        <w:rPr>
          <w:rFonts w:ascii="Arial" w:eastAsia="Times New Roman" w:hAnsi="Arial" w:cs="Arial"/>
        </w:rPr>
        <w:t xml:space="preserve"> deductible per occurrence. Reinsurance is purchased by the Fund to cover catastrophic events in excess of the </w:t>
      </w:r>
      <w:r w:rsidRPr="00F34E2E">
        <w:rPr>
          <w:rFonts w:ascii="Arial" w:eastAsia="Times New Roman" w:hAnsi="Arial" w:cs="Arial"/>
        </w:rPr>
        <w:t>$10,000,000</w:t>
      </w:r>
      <w:r w:rsidRPr="00824602">
        <w:rPr>
          <w:rFonts w:ascii="Arial" w:eastAsia="Times New Roman" w:hAnsi="Arial" w:cs="Arial"/>
        </w:rPr>
        <w:t xml:space="preserve"> deductible. Membership insured property is covered under an all risk coverage contract.</w:t>
      </w:r>
      <w:r w:rsidR="003703BC" w:rsidRPr="003703BC">
        <w:rPr>
          <w:rFonts w:ascii="Arial" w:hAnsi="Arial" w:cs="Arial"/>
          <w:highlight w:val="yellow"/>
        </w:rPr>
        <w:t xml:space="preserve"> </w:t>
      </w:r>
      <w:r w:rsidR="003703BC" w:rsidRPr="0016228A">
        <w:rPr>
          <w:rFonts w:ascii="Arial" w:hAnsi="Arial" w:cs="Arial"/>
          <w:highlight w:val="yellow"/>
        </w:rPr>
        <w:t xml:space="preserve">Each member selects the deductible that will be applicable to their losses, </w:t>
      </w:r>
      <w:r w:rsidR="003703BC">
        <w:rPr>
          <w:rFonts w:ascii="Arial" w:hAnsi="Arial" w:cs="Arial"/>
          <w:highlight w:val="yellow"/>
        </w:rPr>
        <w:t xml:space="preserve">and </w:t>
      </w:r>
      <w:r w:rsidR="003703BC" w:rsidRPr="0016228A">
        <w:rPr>
          <w:rFonts w:ascii="Arial" w:hAnsi="Arial" w:cs="Arial"/>
          <w:highlight w:val="yellow"/>
        </w:rPr>
        <w:t>this</w:t>
      </w:r>
      <w:r w:rsidR="003703BC">
        <w:rPr>
          <w:rFonts w:ascii="Arial" w:hAnsi="Arial" w:cs="Arial"/>
          <w:highlight w:val="yellow"/>
        </w:rPr>
        <w:t xml:space="preserve"> deductible</w:t>
      </w:r>
      <w:r w:rsidR="003703BC" w:rsidRPr="0016228A">
        <w:rPr>
          <w:rFonts w:ascii="Arial" w:hAnsi="Arial" w:cs="Arial"/>
          <w:highlight w:val="yellow"/>
        </w:rPr>
        <w:t xml:space="preserve"> ranges from $1,000 to $5,000.</w:t>
      </w:r>
      <w:r w:rsidR="007D465A">
        <w:rPr>
          <w:rFonts w:ascii="Arial" w:hAnsi="Arial" w:cs="Arial"/>
        </w:rPr>
        <w:t xml:space="preserve"> </w:t>
      </w:r>
      <w:r w:rsidRPr="00824602">
        <w:rPr>
          <w:rFonts w:ascii="Arial" w:eastAsia="Times New Roman" w:hAnsi="Arial" w:cs="Arial"/>
        </w:rPr>
        <w:t xml:space="preserve">Building and contents are valued under a replacement cost basis. No coinsurance penalties apply. There have been no significant reductions in insurance coverage from the previous year and settled claims have not exceeded coverage in any of the past three fiscal years. </w:t>
      </w:r>
      <w:r w:rsidRPr="00824602">
        <w:rPr>
          <w:rFonts w:ascii="Arial" w:eastAsia="Times New Roman" w:hAnsi="Arial" w:cs="Arial"/>
          <w:b/>
          <w:i/>
          <w:color w:val="0000FF"/>
        </w:rPr>
        <w:t>[Modify/Remove as necessary.]</w:t>
      </w:r>
    </w:p>
    <w:p w14:paraId="166C8B16" w14:textId="77777777" w:rsidR="005558B6" w:rsidRPr="00A66832" w:rsidRDefault="005558B6" w:rsidP="00A66832">
      <w:pPr>
        <w:numPr>
          <w:ilvl w:val="0"/>
          <w:numId w:val="26"/>
        </w:numPr>
        <w:spacing w:after="240" w:line="240" w:lineRule="auto"/>
        <w:ind w:left="360"/>
        <w:jc w:val="both"/>
        <w:rPr>
          <w:rFonts w:ascii="Arial" w:eastAsia="Times New Roman" w:hAnsi="Arial" w:cs="Arial"/>
          <w:b/>
          <w:bCs/>
          <w:iCs/>
        </w:rPr>
      </w:pPr>
      <w:r w:rsidRPr="00A66832">
        <w:rPr>
          <w:rFonts w:ascii="Arial" w:eastAsia="Times New Roman" w:hAnsi="Arial" w:cs="Arial"/>
          <w:b/>
          <w:bCs/>
          <w:iCs/>
        </w:rPr>
        <w:t>Employee Benefit Plans</w:t>
      </w:r>
    </w:p>
    <w:p w14:paraId="5D209B77" w14:textId="77777777" w:rsidR="005558B6" w:rsidRPr="00641103" w:rsidRDefault="005558B6" w:rsidP="00A66832">
      <w:pPr>
        <w:spacing w:after="240" w:line="240" w:lineRule="auto"/>
        <w:ind w:left="720" w:hanging="360"/>
        <w:jc w:val="both"/>
        <w:rPr>
          <w:rFonts w:ascii="Arial" w:eastAsia="Times New Roman" w:hAnsi="Arial" w:cs="Arial"/>
          <w:b/>
        </w:rPr>
      </w:pPr>
      <w:r w:rsidRPr="00641103">
        <w:rPr>
          <w:rFonts w:ascii="Arial" w:eastAsia="Times New Roman" w:hAnsi="Arial" w:cs="Arial"/>
          <w:b/>
        </w:rPr>
        <w:t>1.</w:t>
      </w:r>
      <w:r>
        <w:rPr>
          <w:rFonts w:ascii="Arial" w:eastAsia="Times New Roman" w:hAnsi="Arial" w:cs="Arial"/>
          <w:b/>
        </w:rPr>
        <w:tab/>
      </w:r>
      <w:r w:rsidRPr="00641103">
        <w:rPr>
          <w:rFonts w:ascii="Arial" w:eastAsia="Times New Roman" w:hAnsi="Arial" w:cs="Arial"/>
          <w:b/>
        </w:rPr>
        <w:t>State Health Plan</w:t>
      </w:r>
    </w:p>
    <w:p w14:paraId="46F90137" w14:textId="77777777" w:rsidR="005558B6" w:rsidRPr="00641103" w:rsidRDefault="005558B6" w:rsidP="00A66832">
      <w:pPr>
        <w:spacing w:after="240" w:line="240" w:lineRule="auto"/>
        <w:ind w:left="720"/>
        <w:jc w:val="both"/>
        <w:rPr>
          <w:rFonts w:ascii="Arial" w:eastAsia="Times New Roman" w:hAnsi="Arial" w:cs="Arial"/>
        </w:rPr>
      </w:pPr>
      <w:r w:rsidRPr="002B6D41">
        <w:rPr>
          <w:rFonts w:ascii="Arial" w:eastAsia="Times New Roman" w:hAnsi="Arial" w:cs="Arial"/>
        </w:rPr>
        <w:t xml:space="preserve">College employees are provided comprehensive major medical care benefits. Coverage is funded by contributions to the State Health Plan (Plan), a </w:t>
      </w:r>
      <w:bookmarkStart w:id="338" w:name="CompUnitChange"/>
      <w:r w:rsidRPr="002B6D41">
        <w:rPr>
          <w:rFonts w:ascii="Arial" w:eastAsia="Times New Roman" w:hAnsi="Arial" w:cs="Arial"/>
        </w:rPr>
        <w:t>discretely presented component unit</w:t>
      </w:r>
      <w:bookmarkEnd w:id="338"/>
      <w:r w:rsidRPr="002B6D41">
        <w:rPr>
          <w:rFonts w:ascii="Arial" w:eastAsia="Times New Roman" w:hAnsi="Arial" w:cs="Arial"/>
        </w:rPr>
        <w:t xml:space="preserve"> of the State of North Carolina. The Plan is funded by employer </w:t>
      </w:r>
      <w:r w:rsidRPr="00EA3FBC">
        <w:rPr>
          <w:rFonts w:ascii="Arial" w:eastAsia="Times New Roman" w:hAnsi="Arial" w:cs="Arial"/>
          <w:highlight w:val="yellow"/>
        </w:rPr>
        <w:t>and employee</w:t>
      </w:r>
      <w:r w:rsidRPr="00002CBD">
        <w:rPr>
          <w:rFonts w:ascii="Arial" w:eastAsia="Times New Roman" w:hAnsi="Arial" w:cs="Arial"/>
        </w:rPr>
        <w:t xml:space="preserve"> contributions. </w:t>
      </w:r>
      <w:r w:rsidRPr="002B6D41">
        <w:rPr>
          <w:rFonts w:ascii="Arial" w:eastAsia="Times New Roman" w:hAnsi="Arial" w:cs="Arial"/>
        </w:rPr>
        <w:t xml:space="preserve">The Plan has contracted with third parties to </w:t>
      </w:r>
      <w:r w:rsidRPr="002B6D41">
        <w:rPr>
          <w:rFonts w:ascii="Arial" w:eastAsia="Times New Roman" w:hAnsi="Arial" w:cs="Arial"/>
        </w:rPr>
        <w:lastRenderedPageBreak/>
        <w:t xml:space="preserve">process claims. See Note </w:t>
      </w:r>
      <w:r w:rsidRPr="00D21499">
        <w:rPr>
          <w:rFonts w:ascii="Arial" w:eastAsia="Times New Roman" w:hAnsi="Arial" w:cs="Arial"/>
          <w:b/>
          <w:color w:val="0000FF"/>
        </w:rPr>
        <w:t>XX</w:t>
      </w:r>
      <w:r w:rsidRPr="002B6D41">
        <w:rPr>
          <w:rFonts w:ascii="Arial" w:eastAsia="Times New Roman" w:hAnsi="Arial" w:cs="Arial"/>
        </w:rPr>
        <w:t>, Other Postemployment Benefits, for additional information regarding retiree health benefits.</w:t>
      </w:r>
    </w:p>
    <w:p w14:paraId="59B084C7" w14:textId="77777777" w:rsidR="005558B6" w:rsidRPr="00641103" w:rsidRDefault="005558B6" w:rsidP="00A66832">
      <w:pPr>
        <w:spacing w:after="240" w:line="240" w:lineRule="auto"/>
        <w:ind w:left="720" w:hanging="360"/>
        <w:jc w:val="both"/>
        <w:rPr>
          <w:rFonts w:ascii="Arial" w:eastAsia="Times New Roman" w:hAnsi="Arial" w:cs="Arial"/>
          <w:b/>
        </w:rPr>
      </w:pPr>
      <w:r w:rsidRPr="00641103">
        <w:rPr>
          <w:rFonts w:ascii="Arial" w:eastAsia="Times New Roman" w:hAnsi="Arial" w:cs="Arial"/>
          <w:b/>
        </w:rPr>
        <w:t>2.</w:t>
      </w:r>
      <w:r>
        <w:rPr>
          <w:rFonts w:ascii="Arial" w:eastAsia="Times New Roman" w:hAnsi="Arial" w:cs="Arial"/>
          <w:b/>
        </w:rPr>
        <w:tab/>
      </w:r>
      <w:r w:rsidRPr="00641103">
        <w:rPr>
          <w:rFonts w:ascii="Arial" w:eastAsia="Times New Roman" w:hAnsi="Arial" w:cs="Arial"/>
          <w:b/>
        </w:rPr>
        <w:t>Death Benefit Plan of North Carolina</w:t>
      </w:r>
    </w:p>
    <w:p w14:paraId="63E2B26A" w14:textId="77777777" w:rsidR="005558B6" w:rsidRPr="00641103" w:rsidRDefault="005558B6" w:rsidP="00A66832">
      <w:pPr>
        <w:spacing w:after="240" w:line="240" w:lineRule="auto"/>
        <w:ind w:left="720"/>
        <w:jc w:val="both"/>
        <w:rPr>
          <w:rFonts w:ascii="Arial" w:eastAsia="Times New Roman" w:hAnsi="Arial" w:cs="Arial"/>
        </w:rPr>
      </w:pPr>
      <w:r w:rsidRPr="00641103">
        <w:rPr>
          <w:rFonts w:ascii="Arial" w:eastAsia="Times New Roman" w:hAnsi="Arial" w:cs="Arial"/>
        </w:rPr>
        <w:t xml:space="preserve">Term </w:t>
      </w:r>
      <w:r w:rsidRPr="00480752">
        <w:rPr>
          <w:rFonts w:ascii="Arial" w:eastAsia="Times New Roman" w:hAnsi="Arial" w:cs="Arial"/>
        </w:rPr>
        <w:t>life insurance (death benefits) of $25,000 to $50,000 is provided to eligible workers who enroll in the Teachers’ and State Employees’ Retirement System. This Death Benefit Plan is administered by the</w:t>
      </w:r>
      <w:r w:rsidRPr="00641103">
        <w:rPr>
          <w:rFonts w:ascii="Arial" w:eastAsia="Times New Roman" w:hAnsi="Arial" w:cs="Arial"/>
        </w:rPr>
        <w:t xml:space="preserve"> State Treasurer and funded via employer contributions. The employer contribution rate was 0.</w:t>
      </w:r>
      <w:r w:rsidRPr="00EA3FBC">
        <w:rPr>
          <w:rFonts w:ascii="Arial" w:eastAsia="Times New Roman" w:hAnsi="Arial" w:cs="Arial"/>
        </w:rPr>
        <w:t>13</w:t>
      </w:r>
      <w:r w:rsidRPr="00641103">
        <w:rPr>
          <w:rFonts w:ascii="Arial" w:eastAsia="Times New Roman" w:hAnsi="Arial" w:cs="Arial"/>
        </w:rPr>
        <w:t>% for the current fiscal year.</w:t>
      </w:r>
    </w:p>
    <w:p w14:paraId="0AE36A79" w14:textId="77777777" w:rsidR="005558B6" w:rsidRPr="00641103" w:rsidRDefault="005558B6" w:rsidP="00A66832">
      <w:pPr>
        <w:pStyle w:val="ListParagraph"/>
        <w:numPr>
          <w:ilvl w:val="0"/>
          <w:numId w:val="33"/>
        </w:numPr>
        <w:spacing w:after="240"/>
        <w:ind w:left="720"/>
        <w:jc w:val="both"/>
        <w:rPr>
          <w:rFonts w:ascii="Arial" w:hAnsi="Arial" w:cs="Arial"/>
          <w:b/>
          <w:sz w:val="22"/>
        </w:rPr>
      </w:pPr>
      <w:r w:rsidRPr="00641103">
        <w:rPr>
          <w:rFonts w:ascii="Arial" w:hAnsi="Arial" w:cs="Arial"/>
          <w:b/>
          <w:sz w:val="22"/>
        </w:rPr>
        <w:t>Disability Income Plan</w:t>
      </w:r>
    </w:p>
    <w:p w14:paraId="51784EE4" w14:textId="77777777" w:rsidR="005558B6" w:rsidRPr="006A57E7" w:rsidRDefault="005558B6" w:rsidP="00A66832">
      <w:pPr>
        <w:pStyle w:val="PARAFLUSHUNDER1"/>
        <w:ind w:left="720"/>
        <w:rPr>
          <w:rFonts w:ascii="Arial" w:hAnsi="Arial" w:cs="Arial"/>
          <w:sz w:val="22"/>
          <w:szCs w:val="22"/>
        </w:rPr>
      </w:pPr>
      <w:r w:rsidRPr="006A57E7">
        <w:rPr>
          <w:rFonts w:ascii="Arial" w:hAnsi="Arial" w:cs="Arial"/>
          <w:sz w:val="22"/>
          <w:szCs w:val="22"/>
        </w:rPr>
        <w:t xml:space="preserve">Short-term and long-term disability benefits are provided to College employees through the Disability Income Plan of North Carolina (DIPNC), part of the State’s Pension and Other Employee Benefit Trust Funds. Short-term benefits are paid by the College </w:t>
      </w:r>
      <w:r w:rsidRPr="00EA3FBC">
        <w:rPr>
          <w:rFonts w:ascii="Arial" w:eastAsia="Calibri" w:hAnsi="Arial" w:cs="Arial"/>
          <w:sz w:val="22"/>
          <w:szCs w:val="22"/>
          <w:highlight w:val="yellow"/>
        </w:rPr>
        <w:t xml:space="preserve">for up to twelve </w:t>
      </w:r>
      <w:r w:rsidRPr="00627539">
        <w:rPr>
          <w:rFonts w:ascii="Arial" w:eastAsia="Calibri" w:hAnsi="Arial" w:cs="Arial"/>
          <w:sz w:val="22"/>
          <w:szCs w:val="22"/>
          <w:highlight w:val="yellow"/>
        </w:rPr>
        <w:t xml:space="preserve">months. The </w:t>
      </w:r>
      <w:r w:rsidRPr="00EA3FBC">
        <w:rPr>
          <w:rFonts w:ascii="Arial" w:eastAsia="Calibri" w:hAnsi="Arial" w:cs="Arial"/>
          <w:sz w:val="22"/>
          <w:szCs w:val="22"/>
          <w:highlight w:val="yellow"/>
        </w:rPr>
        <w:t>Board of Trustees of the DIPNC may extend the short-term disability benefits for up to an additional twelve months. During the extended period of short-term disability benefits, payments are made directly by the DIPNC to the beneficiary.</w:t>
      </w:r>
      <w:r w:rsidRPr="00A43AC5">
        <w:rPr>
          <w:rFonts w:ascii="Arial" w:eastAsia="Calibri" w:hAnsi="Arial" w:cs="Arial"/>
          <w:sz w:val="22"/>
          <w:szCs w:val="22"/>
        </w:rPr>
        <w:t xml:space="preserve"> </w:t>
      </w:r>
      <w:r w:rsidRPr="006A57E7">
        <w:rPr>
          <w:rFonts w:ascii="Arial" w:hAnsi="Arial" w:cs="Arial"/>
          <w:sz w:val="22"/>
          <w:szCs w:val="22"/>
        </w:rPr>
        <w:t xml:space="preserve">As discussed in Note </w:t>
      </w:r>
      <w:r w:rsidRPr="006A57E7">
        <w:rPr>
          <w:rFonts w:ascii="Arial" w:hAnsi="Arial" w:cs="Arial"/>
          <w:b/>
          <w:color w:val="0000FF"/>
          <w:sz w:val="22"/>
          <w:szCs w:val="22"/>
        </w:rPr>
        <w:t>XX</w:t>
      </w:r>
      <w:r w:rsidRPr="006A57E7">
        <w:rPr>
          <w:rFonts w:ascii="Arial" w:hAnsi="Arial" w:cs="Arial"/>
          <w:sz w:val="22"/>
          <w:szCs w:val="22"/>
        </w:rPr>
        <w:t>, long-term disability benefits are payable as other postemployment benefits from DIPNC after the conclusion of the short-term disability period or after salary continuation payments cease, whichever is later, for as long as an employee is disabled.</w:t>
      </w:r>
    </w:p>
    <w:p w14:paraId="0F775DBE" w14:textId="77777777" w:rsidR="005558B6" w:rsidRPr="00641103" w:rsidRDefault="005558B6" w:rsidP="00A66832">
      <w:pPr>
        <w:numPr>
          <w:ilvl w:val="0"/>
          <w:numId w:val="26"/>
        </w:numPr>
        <w:spacing w:after="240" w:line="240" w:lineRule="auto"/>
        <w:ind w:left="360"/>
        <w:jc w:val="both"/>
        <w:rPr>
          <w:rFonts w:ascii="Arial" w:eastAsia="Times New Roman" w:hAnsi="Arial" w:cs="Arial"/>
          <w:b/>
          <w:bCs/>
          <w:iCs/>
        </w:rPr>
      </w:pPr>
      <w:r w:rsidRPr="00641103">
        <w:rPr>
          <w:rFonts w:ascii="Arial" w:eastAsia="Times New Roman" w:hAnsi="Arial" w:cs="Arial"/>
          <w:b/>
          <w:bCs/>
          <w:iCs/>
        </w:rPr>
        <w:t>Other Risk Management and Insurance Activities</w:t>
      </w:r>
    </w:p>
    <w:p w14:paraId="7153FE7D" w14:textId="77777777" w:rsidR="005558B6" w:rsidRPr="00641103" w:rsidRDefault="005558B6" w:rsidP="00A66832">
      <w:pPr>
        <w:numPr>
          <w:ilvl w:val="0"/>
          <w:numId w:val="25"/>
        </w:numPr>
        <w:spacing w:after="240" w:line="240" w:lineRule="auto"/>
        <w:ind w:left="720"/>
        <w:jc w:val="both"/>
        <w:rPr>
          <w:rFonts w:ascii="Arial" w:eastAsia="Times New Roman" w:hAnsi="Arial" w:cs="Arial"/>
          <w:b/>
        </w:rPr>
      </w:pPr>
      <w:r w:rsidRPr="00641103">
        <w:rPr>
          <w:rFonts w:ascii="Arial" w:eastAsia="Times New Roman" w:hAnsi="Arial" w:cs="Arial"/>
          <w:b/>
        </w:rPr>
        <w:t>Automobile, Fire, and Other Property Losses</w:t>
      </w:r>
    </w:p>
    <w:p w14:paraId="3E56F1A7" w14:textId="7F0F41E4" w:rsidR="005558B6" w:rsidRPr="00641103" w:rsidRDefault="005558B6" w:rsidP="00A66832">
      <w:pPr>
        <w:spacing w:after="240" w:line="240" w:lineRule="auto"/>
        <w:ind w:left="720"/>
        <w:jc w:val="both"/>
        <w:rPr>
          <w:rFonts w:ascii="Arial" w:eastAsia="Times New Roman" w:hAnsi="Arial" w:cs="Arial"/>
        </w:rPr>
      </w:pPr>
      <w:r w:rsidRPr="00641103">
        <w:rPr>
          <w:rFonts w:ascii="Arial" w:eastAsia="Times New Roman" w:hAnsi="Arial" w:cs="Arial"/>
        </w:rPr>
        <w:t xml:space="preserve">Fire and other property losses are covered by contracts with private insurance companies. There have been no significant reductions in insurance coverage from the previous year and settled claims have not exceeded coverage in any of the past three fiscal years. </w:t>
      </w:r>
      <w:r w:rsidRPr="00641103">
        <w:rPr>
          <w:rFonts w:ascii="Arial" w:eastAsia="Times New Roman" w:hAnsi="Arial" w:cs="Arial"/>
          <w:b/>
          <w:i/>
          <w:color w:val="0000FF"/>
        </w:rPr>
        <w:t xml:space="preserve">[Note: This paragraph should only be used if your institution does not participate in the </w:t>
      </w:r>
      <w:r w:rsidR="003703BC" w:rsidRPr="003703BC">
        <w:rPr>
          <w:rFonts w:ascii="Arial" w:eastAsia="Times New Roman" w:hAnsi="Arial" w:cs="Arial"/>
          <w:b/>
          <w:i/>
          <w:color w:val="0000FF"/>
          <w:highlight w:val="yellow"/>
        </w:rPr>
        <w:t>State Public Education Property</w:t>
      </w:r>
      <w:r w:rsidR="003703BC">
        <w:rPr>
          <w:rFonts w:ascii="Arial" w:eastAsia="Times New Roman" w:hAnsi="Arial" w:cs="Arial"/>
          <w:b/>
          <w:i/>
          <w:color w:val="0000FF"/>
        </w:rPr>
        <w:t xml:space="preserve"> Insurance Fund</w:t>
      </w:r>
      <w:r w:rsidRPr="00641103">
        <w:rPr>
          <w:rFonts w:ascii="Arial" w:eastAsia="Times New Roman" w:hAnsi="Arial" w:cs="Arial"/>
          <w:b/>
          <w:i/>
          <w:color w:val="0000FF"/>
        </w:rPr>
        <w:t>, as noted above in part A of this note. In the event that this paragraph does not apply, modify the title of this section to “Automobile Insurance”. Modify as necessary.]</w:t>
      </w:r>
    </w:p>
    <w:p w14:paraId="28817168" w14:textId="77777777" w:rsidR="005558B6" w:rsidRPr="00641103" w:rsidRDefault="005558B6" w:rsidP="00A66832">
      <w:pPr>
        <w:spacing w:after="240" w:line="240" w:lineRule="auto"/>
        <w:ind w:left="720"/>
        <w:jc w:val="both"/>
        <w:rPr>
          <w:rFonts w:ascii="Arial" w:eastAsia="Times New Roman" w:hAnsi="Arial" w:cs="Arial"/>
          <w:b/>
        </w:rPr>
      </w:pPr>
      <w:r w:rsidRPr="00641103">
        <w:rPr>
          <w:rFonts w:ascii="Arial" w:eastAsia="Times New Roman" w:hAnsi="Arial" w:cs="Arial"/>
        </w:rPr>
        <w:t>State-owned vehicles are covered by liability insurance through a private insurance company and handled by the North Carolina Department of Insurance. The liability limits for losses are $1,000,000 per claim and $10,000,000 per occurrence. The College pays premiums to the North Carolina Department of Insurance for the coverage. Liability insurance for other College-owned vehicles is covered by contracts with private insurance companies.</w:t>
      </w:r>
    </w:p>
    <w:p w14:paraId="08E85F2D" w14:textId="77777777" w:rsidR="005558B6" w:rsidRPr="00641103" w:rsidRDefault="005558B6" w:rsidP="00A66832">
      <w:pPr>
        <w:pStyle w:val="ListParagraph"/>
        <w:numPr>
          <w:ilvl w:val="0"/>
          <w:numId w:val="25"/>
        </w:numPr>
        <w:spacing w:after="240"/>
        <w:ind w:left="720"/>
        <w:jc w:val="both"/>
        <w:rPr>
          <w:rFonts w:ascii="Arial" w:hAnsi="Arial" w:cs="Arial"/>
          <w:b/>
          <w:sz w:val="22"/>
          <w:szCs w:val="22"/>
        </w:rPr>
      </w:pPr>
      <w:r w:rsidRPr="00641103">
        <w:rPr>
          <w:rFonts w:ascii="Arial" w:hAnsi="Arial" w:cs="Arial"/>
          <w:b/>
          <w:sz w:val="22"/>
          <w:szCs w:val="22"/>
        </w:rPr>
        <w:t>Public Officers’ and Employees’ Liability Insurance</w:t>
      </w:r>
    </w:p>
    <w:p w14:paraId="55980442" w14:textId="4B1E06B8" w:rsidR="005558B6" w:rsidRPr="00641103" w:rsidRDefault="005558B6" w:rsidP="00A66832">
      <w:pPr>
        <w:spacing w:after="240" w:line="240" w:lineRule="auto"/>
        <w:ind w:left="720"/>
        <w:jc w:val="both"/>
        <w:rPr>
          <w:rFonts w:ascii="Arial" w:eastAsia="Times New Roman" w:hAnsi="Arial" w:cs="Arial"/>
        </w:rPr>
      </w:pPr>
      <w:r w:rsidRPr="00641103">
        <w:rPr>
          <w:rFonts w:ascii="Arial" w:eastAsia="Times New Roman" w:hAnsi="Arial" w:cs="Arial"/>
        </w:rPr>
        <w:t xml:space="preserve">The risk of tort claims of up to $1,000,000 per claimant is retained under the authority of the State Tort Claims Act. In </w:t>
      </w:r>
      <w:r w:rsidRPr="00824602">
        <w:rPr>
          <w:rFonts w:ascii="Arial" w:eastAsia="Times New Roman" w:hAnsi="Arial" w:cs="Arial"/>
        </w:rPr>
        <w:t xml:space="preserve">addition, the State provides excess public officers’ and employees’ liability insurance up to </w:t>
      </w:r>
      <w:r w:rsidRPr="00F34E2E">
        <w:rPr>
          <w:rFonts w:ascii="Arial" w:eastAsia="Times New Roman" w:hAnsi="Arial" w:cs="Arial"/>
        </w:rPr>
        <w:t xml:space="preserve">$2,000,000 per claim and </w:t>
      </w:r>
      <w:r w:rsidRPr="00480752">
        <w:rPr>
          <w:rFonts w:ascii="Arial" w:eastAsia="Times New Roman" w:hAnsi="Arial" w:cs="Arial"/>
          <w:highlight w:val="yellow"/>
        </w:rPr>
        <w:t>$</w:t>
      </w:r>
      <w:r w:rsidR="003E31EF">
        <w:rPr>
          <w:rFonts w:ascii="Arial" w:eastAsia="Times New Roman" w:hAnsi="Arial" w:cs="Arial"/>
          <w:highlight w:val="yellow"/>
        </w:rPr>
        <w:t>10,000,000</w:t>
      </w:r>
      <w:r w:rsidRPr="00F34E2E">
        <w:rPr>
          <w:rFonts w:ascii="Arial" w:eastAsia="Times New Roman" w:hAnsi="Arial" w:cs="Arial"/>
        </w:rPr>
        <w:t xml:space="preserve"> in the aggregate per fiscal year</w:t>
      </w:r>
      <w:r w:rsidRPr="00824602">
        <w:rPr>
          <w:rFonts w:ascii="Arial" w:eastAsia="Times New Roman" w:hAnsi="Arial" w:cs="Arial"/>
        </w:rPr>
        <w:t xml:space="preserve"> via contract with private insurance </w:t>
      </w:r>
      <w:r w:rsidRPr="006C7C0E">
        <w:rPr>
          <w:rFonts w:ascii="Arial" w:eastAsia="Times New Roman" w:hAnsi="Arial" w:cs="Arial"/>
          <w:highlight w:val="yellow"/>
        </w:rPr>
        <w:t>compan</w:t>
      </w:r>
      <w:r w:rsidR="006C7C0E" w:rsidRPr="006C7C0E">
        <w:rPr>
          <w:rFonts w:ascii="Arial" w:eastAsia="Times New Roman" w:hAnsi="Arial" w:cs="Arial"/>
          <w:highlight w:val="yellow"/>
        </w:rPr>
        <w:t>ies</w:t>
      </w:r>
      <w:r w:rsidRPr="00824602">
        <w:rPr>
          <w:rFonts w:ascii="Arial" w:eastAsia="Times New Roman" w:hAnsi="Arial" w:cs="Arial"/>
        </w:rPr>
        <w:t>. The North Carolina Community College System Office pays the premium, based on a composite rate, directly to the private insurer.</w:t>
      </w:r>
      <w:r w:rsidRPr="00641103">
        <w:rPr>
          <w:rFonts w:ascii="Arial" w:eastAsia="Times New Roman" w:hAnsi="Arial" w:cs="Arial"/>
          <w:b/>
        </w:rPr>
        <w:t xml:space="preserve"> </w:t>
      </w:r>
    </w:p>
    <w:p w14:paraId="43E839AF" w14:textId="77777777" w:rsidR="005558B6" w:rsidRPr="00641103" w:rsidRDefault="005558B6" w:rsidP="00A66832">
      <w:pPr>
        <w:numPr>
          <w:ilvl w:val="0"/>
          <w:numId w:val="25"/>
        </w:numPr>
        <w:spacing w:after="240" w:line="240" w:lineRule="auto"/>
        <w:ind w:left="720"/>
        <w:jc w:val="both"/>
        <w:rPr>
          <w:rFonts w:ascii="Arial" w:eastAsia="Times New Roman" w:hAnsi="Arial" w:cs="Arial"/>
          <w:b/>
        </w:rPr>
      </w:pPr>
      <w:r w:rsidRPr="00641103">
        <w:rPr>
          <w:rFonts w:ascii="Arial" w:eastAsia="Times New Roman" w:hAnsi="Arial" w:cs="Arial"/>
          <w:b/>
        </w:rPr>
        <w:lastRenderedPageBreak/>
        <w:t>Employee Dishonesty and Computer Fraud</w:t>
      </w:r>
    </w:p>
    <w:p w14:paraId="3EF9C305" w14:textId="77777777" w:rsidR="005558B6" w:rsidRDefault="005558B6" w:rsidP="00A66832">
      <w:pPr>
        <w:spacing w:after="240" w:line="240" w:lineRule="auto"/>
        <w:ind w:left="720"/>
        <w:jc w:val="both"/>
        <w:rPr>
          <w:rFonts w:ascii="Arial" w:eastAsia="Times New Roman" w:hAnsi="Arial" w:cs="Arial"/>
          <w:b/>
        </w:rPr>
      </w:pPr>
      <w:r w:rsidRPr="00641103">
        <w:rPr>
          <w:rFonts w:ascii="Arial" w:eastAsia="Times New Roman" w:hAnsi="Arial" w:cs="Arial"/>
        </w:rPr>
        <w:t xml:space="preserve">The College is protected for losses from employee dishonesty and computer fraud for employees paid in whole or in part from state funds. This coverage is </w:t>
      </w:r>
      <w:r w:rsidRPr="00480752">
        <w:rPr>
          <w:rFonts w:ascii="Arial" w:eastAsia="Times New Roman" w:hAnsi="Arial" w:cs="Arial"/>
        </w:rPr>
        <w:t>with a private insurance company and is handled by the North Carolina Department of Insurance. The North Carolina Community College System Office is charged a premium by the private</w:t>
      </w:r>
      <w:r w:rsidRPr="00641103">
        <w:rPr>
          <w:rFonts w:ascii="Arial" w:eastAsia="Times New Roman" w:hAnsi="Arial" w:cs="Arial"/>
        </w:rPr>
        <w:t xml:space="preserve"> insurance company. Coverage limit is $5,000,000 per occurrence. The private insurance compan</w:t>
      </w:r>
      <w:r w:rsidRPr="005A31CF">
        <w:rPr>
          <w:rFonts w:ascii="Arial" w:eastAsia="Times New Roman" w:hAnsi="Arial" w:cs="Arial"/>
        </w:rPr>
        <w:t xml:space="preserve">y pays 90% of each loss less a </w:t>
      </w:r>
      <w:r w:rsidRPr="000A6A98">
        <w:rPr>
          <w:rFonts w:ascii="Arial" w:eastAsia="Times New Roman" w:hAnsi="Arial" w:cs="Arial"/>
        </w:rPr>
        <w:t>$100,000</w:t>
      </w:r>
      <w:r w:rsidRPr="005A31CF">
        <w:rPr>
          <w:rFonts w:ascii="Arial" w:eastAsia="Times New Roman" w:hAnsi="Arial" w:cs="Arial"/>
        </w:rPr>
        <w:t xml:space="preserve"> deductible.</w:t>
      </w:r>
      <w:r w:rsidRPr="005A31CF">
        <w:rPr>
          <w:rFonts w:ascii="Arial" w:eastAsia="Times New Roman" w:hAnsi="Arial" w:cs="Arial"/>
          <w:b/>
        </w:rPr>
        <w:t xml:space="preserve"> </w:t>
      </w:r>
      <w:r w:rsidRPr="005A31CF">
        <w:rPr>
          <w:rFonts w:ascii="Arial" w:eastAsia="Times New Roman" w:hAnsi="Arial" w:cs="Arial"/>
          <w:b/>
          <w:bCs/>
          <w:i/>
          <w:iCs/>
          <w:color w:val="0000FF"/>
        </w:rPr>
        <w:t>[Describe how losses from county and institutional funds paid employees are covered.]</w:t>
      </w:r>
    </w:p>
    <w:p w14:paraId="0EBB657F" w14:textId="77777777" w:rsidR="005558B6" w:rsidRPr="000A6A98" w:rsidRDefault="005558B6" w:rsidP="00A66832">
      <w:pPr>
        <w:pStyle w:val="ListParagraph"/>
        <w:numPr>
          <w:ilvl w:val="0"/>
          <w:numId w:val="25"/>
        </w:numPr>
        <w:spacing w:after="240"/>
        <w:ind w:left="720"/>
        <w:jc w:val="both"/>
        <w:rPr>
          <w:rFonts w:ascii="Arial" w:hAnsi="Arial" w:cs="Arial"/>
          <w:b/>
          <w:sz w:val="22"/>
          <w:szCs w:val="22"/>
        </w:rPr>
      </w:pPr>
      <w:r w:rsidRPr="000A6A98">
        <w:rPr>
          <w:rFonts w:ascii="Arial" w:hAnsi="Arial" w:cs="Arial"/>
          <w:b/>
          <w:sz w:val="22"/>
          <w:szCs w:val="22"/>
        </w:rPr>
        <w:t>Statewide Workers’ Compensation Program</w:t>
      </w:r>
    </w:p>
    <w:p w14:paraId="463161F9" w14:textId="77777777" w:rsidR="005558B6" w:rsidRPr="005A31CF" w:rsidRDefault="005558B6" w:rsidP="00A66832">
      <w:pPr>
        <w:spacing w:after="240" w:line="240" w:lineRule="auto"/>
        <w:ind w:left="720"/>
        <w:jc w:val="both"/>
        <w:rPr>
          <w:rFonts w:ascii="Arial" w:eastAsia="Times New Roman" w:hAnsi="Arial" w:cs="Arial"/>
        </w:rPr>
      </w:pPr>
      <w:r w:rsidRPr="005A31CF">
        <w:rPr>
          <w:rFonts w:ascii="Arial" w:eastAsia="Times New Roman" w:hAnsi="Arial" w:cs="Arial"/>
        </w:rPr>
        <w:t xml:space="preserve">The State Board of Community Colleges makes the necessary arrangements to carry out the provisions of the Workers’ Compensation Act which are applicable to employees whose wages are paid in whole or in part from state funds. The College purchases workers’ compensation insurance for employees whose salaries or wages are paid by the Board </w:t>
      </w:r>
      <w:r>
        <w:rPr>
          <w:rFonts w:ascii="Arial" w:eastAsia="Times New Roman" w:hAnsi="Arial" w:cs="Arial"/>
        </w:rPr>
        <w:t>in whole or in part</w:t>
      </w:r>
      <w:r w:rsidRPr="005A31CF">
        <w:rPr>
          <w:rFonts w:ascii="Arial" w:eastAsia="Times New Roman" w:hAnsi="Arial" w:cs="Arial"/>
        </w:rPr>
        <w:t xml:space="preserve"> from county or institutional funds.</w:t>
      </w:r>
    </w:p>
    <w:p w14:paraId="6F886712" w14:textId="77777777" w:rsidR="005558B6" w:rsidRPr="005A31CF" w:rsidRDefault="005558B6" w:rsidP="00A66832">
      <w:pPr>
        <w:spacing w:after="240" w:line="240" w:lineRule="auto"/>
        <w:ind w:left="720"/>
        <w:jc w:val="both"/>
        <w:rPr>
          <w:rFonts w:ascii="Arial" w:eastAsia="Times New Roman" w:hAnsi="Arial" w:cs="Arial"/>
        </w:rPr>
      </w:pPr>
      <w:r w:rsidRPr="005A31CF">
        <w:rPr>
          <w:rFonts w:ascii="Arial" w:eastAsia="Times New Roman" w:hAnsi="Arial" w:cs="Arial"/>
        </w:rPr>
        <w:t>Additional details on the state-</w:t>
      </w:r>
      <w:r w:rsidRPr="00A01FD0">
        <w:rPr>
          <w:rFonts w:ascii="Arial" w:eastAsia="Times New Roman" w:hAnsi="Arial" w:cs="Arial"/>
        </w:rPr>
        <w:t xml:space="preserve">administered risk management programs are disclosed in the State’s </w:t>
      </w:r>
      <w:r w:rsidRPr="00EA3FBC">
        <w:rPr>
          <w:rFonts w:ascii="Arial" w:eastAsia="Times New Roman" w:hAnsi="Arial" w:cs="Arial"/>
          <w:i/>
          <w:highlight w:val="yellow"/>
        </w:rPr>
        <w:t>Annual Comprehensive</w:t>
      </w:r>
      <w:r w:rsidRPr="00A01FD0">
        <w:rPr>
          <w:rFonts w:ascii="Arial" w:eastAsia="Times New Roman" w:hAnsi="Arial" w:cs="Arial"/>
          <w:i/>
        </w:rPr>
        <w:t xml:space="preserve"> Financial Report</w:t>
      </w:r>
      <w:r w:rsidRPr="00A01FD0">
        <w:rPr>
          <w:rFonts w:ascii="Arial" w:eastAsia="Times New Roman" w:hAnsi="Arial" w:cs="Arial"/>
        </w:rPr>
        <w:t>, issued by the Office of the State Controller</w:t>
      </w:r>
      <w:r w:rsidRPr="005A31CF">
        <w:rPr>
          <w:rFonts w:ascii="Arial" w:eastAsia="Times New Roman" w:hAnsi="Arial" w:cs="Arial"/>
        </w:rPr>
        <w:t>.</w:t>
      </w:r>
    </w:p>
    <w:p w14:paraId="5EE700AB" w14:textId="77777777" w:rsidR="005558B6" w:rsidRPr="000A6A98" w:rsidRDefault="005558B6" w:rsidP="00A66832">
      <w:pPr>
        <w:pStyle w:val="ListParagraph"/>
        <w:numPr>
          <w:ilvl w:val="0"/>
          <w:numId w:val="25"/>
        </w:numPr>
        <w:spacing w:after="240"/>
        <w:ind w:left="720"/>
        <w:jc w:val="both"/>
        <w:rPr>
          <w:rFonts w:ascii="Arial" w:hAnsi="Arial" w:cs="Arial"/>
          <w:b/>
          <w:sz w:val="22"/>
          <w:szCs w:val="22"/>
        </w:rPr>
      </w:pPr>
      <w:r w:rsidRPr="000A6A98">
        <w:rPr>
          <w:rFonts w:ascii="Arial" w:hAnsi="Arial" w:cs="Arial"/>
          <w:b/>
          <w:sz w:val="22"/>
          <w:szCs w:val="22"/>
        </w:rPr>
        <w:t>Other Insurance Held by the College</w:t>
      </w:r>
    </w:p>
    <w:p w14:paraId="5F1185F2" w14:textId="77777777" w:rsidR="005558B6" w:rsidRPr="005A31CF" w:rsidRDefault="005558B6" w:rsidP="00A66832">
      <w:pPr>
        <w:spacing w:after="240" w:line="240" w:lineRule="auto"/>
        <w:ind w:left="720"/>
        <w:jc w:val="both"/>
        <w:rPr>
          <w:rFonts w:ascii="Arial" w:eastAsia="Times New Roman" w:hAnsi="Arial" w:cs="Arial"/>
          <w:b/>
          <w:bCs/>
          <w:i/>
          <w:iCs/>
          <w:color w:val="0000FF"/>
        </w:rPr>
      </w:pPr>
      <w:r w:rsidRPr="005A31CF">
        <w:rPr>
          <w:rFonts w:ascii="Arial" w:eastAsia="Times New Roman" w:hAnsi="Arial" w:cs="Arial"/>
          <w:b/>
          <w:bCs/>
          <w:i/>
          <w:iCs/>
          <w:color w:val="0000FF"/>
        </w:rPr>
        <w:t>[Disclose any material events related to risk management occurring during the fiscal year or after the balance sheet date.]</w:t>
      </w:r>
    </w:p>
    <w:p w14:paraId="3E4C8F59" w14:textId="77777777" w:rsidR="005558B6" w:rsidRPr="005A31CF" w:rsidRDefault="005558B6" w:rsidP="00A66832">
      <w:pPr>
        <w:spacing w:after="240" w:line="240" w:lineRule="auto"/>
        <w:ind w:left="720"/>
        <w:jc w:val="both"/>
        <w:rPr>
          <w:rFonts w:ascii="Arial" w:eastAsia="Times New Roman" w:hAnsi="Arial" w:cs="Arial"/>
          <w:b/>
          <w:bCs/>
          <w:i/>
          <w:iCs/>
          <w:color w:val="0000FF"/>
        </w:rPr>
      </w:pPr>
      <w:r w:rsidRPr="005A31CF">
        <w:rPr>
          <w:rFonts w:ascii="Arial" w:eastAsia="Times New Roman" w:hAnsi="Arial" w:cs="Arial"/>
          <w:b/>
          <w:bCs/>
          <w:i/>
          <w:iCs/>
          <w:color w:val="0000FF"/>
        </w:rPr>
        <w:t>[Add the following paragraph to disclose any material retained risk not disclosed elsewhere in thi</w:t>
      </w:r>
      <w:r>
        <w:rPr>
          <w:rFonts w:ascii="Arial" w:eastAsia="Times New Roman" w:hAnsi="Arial" w:cs="Arial"/>
          <w:b/>
          <w:bCs/>
          <w:i/>
          <w:iCs/>
          <w:color w:val="0000FF"/>
        </w:rPr>
        <w:t>s note as required by GASB. (For e</w:t>
      </w:r>
      <w:r w:rsidRPr="005A31CF">
        <w:rPr>
          <w:rFonts w:ascii="Arial" w:eastAsia="Times New Roman" w:hAnsi="Arial" w:cs="Arial"/>
          <w:b/>
          <w:bCs/>
          <w:i/>
          <w:iCs/>
          <w:color w:val="0000FF"/>
        </w:rPr>
        <w:t xml:space="preserve">xample </w:t>
      </w:r>
      <w:r w:rsidRPr="005A31CF">
        <w:rPr>
          <w:rFonts w:ascii="Arial" w:eastAsia="Times New Roman" w:hAnsi="Arial" w:cs="Arial"/>
          <w:bCs/>
          <w:i/>
          <w:iCs/>
          <w:color w:val="0000FF"/>
        </w:rPr>
        <w:t>-</w:t>
      </w:r>
      <w:r w:rsidRPr="005A31CF">
        <w:rPr>
          <w:rFonts w:ascii="Arial" w:eastAsia="Times New Roman" w:hAnsi="Arial" w:cs="Arial"/>
          <w:b/>
          <w:bCs/>
          <w:i/>
          <w:iCs/>
          <w:color w:val="0000FF"/>
        </w:rPr>
        <w:t xml:space="preserve"> medical malpractice.)]</w:t>
      </w:r>
    </w:p>
    <w:p w14:paraId="1A241B88" w14:textId="77777777" w:rsidR="005558B6" w:rsidRPr="005A31CF" w:rsidRDefault="005558B6" w:rsidP="00A66832">
      <w:pPr>
        <w:spacing w:after="240" w:line="240" w:lineRule="auto"/>
        <w:ind w:left="720"/>
        <w:jc w:val="both"/>
        <w:rPr>
          <w:rFonts w:ascii="Arial" w:eastAsia="Times New Roman" w:hAnsi="Arial" w:cs="Arial"/>
          <w:b/>
          <w:i/>
          <w:color w:val="0000FF"/>
        </w:rPr>
      </w:pPr>
      <w:r w:rsidRPr="005A31CF">
        <w:rPr>
          <w:rFonts w:ascii="Arial" w:eastAsia="Times New Roman" w:hAnsi="Arial" w:cs="Arial"/>
        </w:rPr>
        <w:t>The College retained the fol</w:t>
      </w:r>
      <w:r>
        <w:rPr>
          <w:rFonts w:ascii="Arial" w:eastAsia="Times New Roman" w:hAnsi="Arial" w:cs="Arial"/>
        </w:rPr>
        <w:t>lowing risks as of June 30, 2022</w:t>
      </w:r>
      <w:r w:rsidRPr="005A31CF">
        <w:rPr>
          <w:rFonts w:ascii="Arial" w:eastAsia="Times New Roman" w:hAnsi="Arial" w:cs="Arial"/>
        </w:rPr>
        <w:t xml:space="preserve">: </w:t>
      </w:r>
      <w:r w:rsidRPr="005A31CF">
        <w:rPr>
          <w:rFonts w:ascii="Arial" w:eastAsia="Times New Roman" w:hAnsi="Arial" w:cs="Arial"/>
          <w:b/>
          <w:i/>
          <w:color w:val="0000FF"/>
        </w:rPr>
        <w:t>[Describe the risks retained by the College and applicable liabilities. See GASB 10 for disclosure requirements.]</w:t>
      </w:r>
    </w:p>
    <w:p w14:paraId="7640EDD8" w14:textId="77777777" w:rsidR="005558B6" w:rsidRPr="005A31CF" w:rsidRDefault="005558B6" w:rsidP="00A66832">
      <w:pPr>
        <w:tabs>
          <w:tab w:val="left" w:pos="1800"/>
        </w:tabs>
        <w:spacing w:after="240" w:line="240" w:lineRule="auto"/>
        <w:ind w:left="720"/>
        <w:jc w:val="both"/>
        <w:rPr>
          <w:rFonts w:ascii="Arial" w:eastAsia="Times New Roman" w:hAnsi="Arial" w:cs="Arial"/>
          <w:b/>
          <w:i/>
          <w:color w:val="0000FF"/>
        </w:rPr>
      </w:pPr>
      <w:r w:rsidRPr="005A31CF">
        <w:rPr>
          <w:rFonts w:ascii="Arial" w:eastAsia="Times New Roman" w:hAnsi="Arial" w:cs="Arial"/>
          <w:b/>
          <w:i/>
          <w:color w:val="0000FF"/>
        </w:rPr>
        <w:t>[Add the following paragraph if other private insurance was purchased to address risks that could be of a material nature.]</w:t>
      </w:r>
    </w:p>
    <w:p w14:paraId="33F17593" w14:textId="77777777" w:rsidR="005558B6" w:rsidRPr="005A31CF" w:rsidRDefault="005558B6" w:rsidP="00A66832">
      <w:pPr>
        <w:spacing w:after="240" w:line="240" w:lineRule="auto"/>
        <w:ind w:left="720"/>
        <w:jc w:val="both"/>
        <w:rPr>
          <w:rFonts w:ascii="Arial" w:eastAsia="Times New Roman" w:hAnsi="Arial" w:cs="Arial"/>
        </w:rPr>
      </w:pPr>
      <w:r w:rsidRPr="005A31CF">
        <w:rPr>
          <w:rFonts w:ascii="Arial" w:eastAsia="Times New Roman" w:hAnsi="Arial" w:cs="Arial"/>
        </w:rPr>
        <w:t xml:space="preserve">The College purchased other authorized coverage from private insurance companies through the North Carolina Department of Insurance. </w:t>
      </w:r>
      <w:r w:rsidRPr="005A31CF">
        <w:rPr>
          <w:rFonts w:ascii="Arial" w:eastAsia="Times New Roman" w:hAnsi="Arial" w:cs="Arial"/>
          <w:b/>
          <w:i/>
          <w:color w:val="0000FF"/>
        </w:rPr>
        <w:t>[Describe other types of insurance purchased and applicable coverage. See GASB 10 for disclosure requirements.]</w:t>
      </w:r>
    </w:p>
    <w:p w14:paraId="513856DA"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17</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Commitments and Contingencies</w:t>
      </w:r>
    </w:p>
    <w:p w14:paraId="7968C9DA" w14:textId="77777777" w:rsidR="005558B6" w:rsidRPr="005A31CF" w:rsidRDefault="005558B6" w:rsidP="00A66832">
      <w:pPr>
        <w:tabs>
          <w:tab w:val="left" w:pos="1080"/>
        </w:tabs>
        <w:spacing w:after="240" w:line="240" w:lineRule="auto"/>
        <w:jc w:val="both"/>
        <w:rPr>
          <w:rFonts w:ascii="Arial" w:eastAsia="Times New Roman" w:hAnsi="Arial" w:cs="Arial"/>
          <w:b/>
          <w:i/>
          <w:color w:val="0000FF"/>
        </w:rPr>
      </w:pPr>
      <w:r w:rsidRPr="00641103">
        <w:rPr>
          <w:rFonts w:ascii="Arial" w:eastAsia="Times New Roman" w:hAnsi="Arial" w:cs="Arial"/>
          <w:b/>
          <w:i/>
          <w:color w:val="0000FF"/>
        </w:rPr>
        <w:t>[Note to Preparer: Modify as necessary. If significant contingencies exist see GASB 62</w:t>
      </w:r>
      <w:r w:rsidRPr="005A31CF">
        <w:rPr>
          <w:rFonts w:ascii="Arial" w:eastAsia="Times New Roman" w:hAnsi="Arial" w:cs="Arial"/>
          <w:b/>
          <w:i/>
          <w:color w:val="0000FF"/>
        </w:rPr>
        <w:t xml:space="preserve"> paragraphs 106 through 110 for full disclosure requirements]</w:t>
      </w:r>
    </w:p>
    <w:p w14:paraId="4414962C" w14:textId="77777777" w:rsidR="005558B6" w:rsidRPr="005A31CF" w:rsidRDefault="005558B6" w:rsidP="00A66832">
      <w:pPr>
        <w:tabs>
          <w:tab w:val="left" w:pos="1560"/>
        </w:tabs>
        <w:spacing w:after="240" w:line="240" w:lineRule="auto"/>
        <w:ind w:left="360" w:hanging="360"/>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Commitments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College has established an encumbrance system to track its outstanding commitments on construction projects and other purchases. Outstanding </w:t>
      </w:r>
      <w:r w:rsidRPr="005A31CF">
        <w:rPr>
          <w:rFonts w:ascii="Arial" w:eastAsia="Times New Roman" w:hAnsi="Arial" w:cs="Arial"/>
        </w:rPr>
        <w:lastRenderedPageBreak/>
        <w:t>commitments on construction contracts were $________ and on other purchases</w:t>
      </w:r>
      <w:r>
        <w:rPr>
          <w:rFonts w:ascii="Arial" w:eastAsia="Times New Roman" w:hAnsi="Arial" w:cs="Arial"/>
        </w:rPr>
        <w:t xml:space="preserve"> were $________ at June 30, 2022</w:t>
      </w:r>
      <w:r w:rsidRPr="005A31CF">
        <w:rPr>
          <w:rFonts w:ascii="Arial" w:eastAsia="Times New Roman" w:hAnsi="Arial" w:cs="Arial"/>
        </w:rPr>
        <w:t xml:space="preserve">. </w:t>
      </w:r>
      <w:r w:rsidRPr="005A31CF">
        <w:rPr>
          <w:rFonts w:ascii="Arial" w:eastAsia="Times New Roman" w:hAnsi="Arial" w:cs="Arial"/>
          <w:b/>
          <w:i/>
          <w:color w:val="0000FF"/>
        </w:rPr>
        <w:t>[Modify as considered necessary. Other purchases that are not significant to the financial statements may be omitted.]</w:t>
      </w:r>
    </w:p>
    <w:p w14:paraId="64D1F810" w14:textId="77777777" w:rsidR="005558B6" w:rsidRPr="005A31CF" w:rsidRDefault="005558B6" w:rsidP="00A66832">
      <w:pPr>
        <w:tabs>
          <w:tab w:val="left" w:pos="1560"/>
        </w:tabs>
        <w:spacing w:after="240" w:line="240" w:lineRule="auto"/>
        <w:ind w:left="360" w:hanging="360"/>
        <w:jc w:val="both"/>
        <w:rPr>
          <w:rFonts w:ascii="Arial" w:eastAsia="Times New Roman" w:hAnsi="Arial" w:cs="Arial"/>
          <w:b/>
          <w:bCs/>
          <w:i/>
          <w:iCs/>
          <w:smallCaps/>
          <w:color w:val="0000FF"/>
        </w:rPr>
      </w:pPr>
      <w:r w:rsidRPr="005A31CF">
        <w:rPr>
          <w:rFonts w:ascii="Arial" w:eastAsia="Times New Roman" w:hAnsi="Arial" w:cs="Arial"/>
          <w:b/>
        </w:rPr>
        <w:t>B.</w:t>
      </w:r>
      <w:r w:rsidRPr="005A31CF">
        <w:rPr>
          <w:rFonts w:ascii="Arial" w:eastAsia="Times New Roman" w:hAnsi="Arial" w:cs="Arial"/>
          <w:b/>
        </w:rPr>
        <w:tab/>
        <w:t xml:space="preserve">Pending Litigation and Claims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b/>
          <w:bCs/>
          <w:i/>
          <w:iCs/>
          <w:smallCaps/>
          <w:color w:val="0000FF"/>
        </w:rPr>
        <w:t>[</w:t>
      </w:r>
      <w:r w:rsidRPr="005A31CF">
        <w:rPr>
          <w:rFonts w:ascii="Arial" w:eastAsia="Times New Roman" w:hAnsi="Arial" w:cs="Arial"/>
          <w:b/>
          <w:bCs/>
          <w:i/>
          <w:iCs/>
          <w:color w:val="0000FF"/>
        </w:rPr>
        <w:t>Describe any pending litigation or claims that could have a material effect on the financial statements</w:t>
      </w:r>
      <w:r w:rsidRPr="005A31CF">
        <w:rPr>
          <w:rFonts w:ascii="Arial" w:eastAsia="Times New Roman" w:hAnsi="Arial" w:cs="Arial"/>
          <w:b/>
          <w:bCs/>
          <w:i/>
          <w:iCs/>
          <w:smallCaps/>
          <w:color w:val="0000FF"/>
        </w:rPr>
        <w:t>.]</w:t>
      </w:r>
      <w:r w:rsidRPr="005A31CF">
        <w:rPr>
          <w:rFonts w:ascii="Arial" w:eastAsia="Times New Roman" w:hAnsi="Arial" w:cs="Arial"/>
        </w:rPr>
        <w:t xml:space="preserve"> The College is a party to </w:t>
      </w:r>
      <w:r w:rsidRPr="005A31CF">
        <w:rPr>
          <w:rFonts w:ascii="Arial" w:eastAsia="Times New Roman" w:hAnsi="Arial" w:cs="Arial"/>
          <w:i/>
        </w:rPr>
        <w:t>[other]</w:t>
      </w:r>
      <w:r w:rsidRPr="005A31CF">
        <w:rPr>
          <w:rFonts w:ascii="Arial" w:eastAsia="Times New Roman" w:hAnsi="Arial" w:cs="Arial"/>
        </w:rPr>
        <w:t xml:space="preserve"> litigation and claims in the ordinary course of its operations. Since it is not possible to predict the ultimate outcome of these matters, no provision for any liability has been made in the financial statements. College management is of the opinion that the liability, if any, for any of these matters will not have a material adverse effect on the financial position of the College. </w:t>
      </w:r>
      <w:r w:rsidRPr="005A31CF">
        <w:rPr>
          <w:rFonts w:ascii="Arial" w:eastAsia="Times New Roman" w:hAnsi="Arial" w:cs="Arial"/>
          <w:b/>
          <w:i/>
          <w:color w:val="0000FF"/>
        </w:rPr>
        <w:t>[Omit if not applicable.]</w:t>
      </w:r>
    </w:p>
    <w:p w14:paraId="66267519" w14:textId="77777777" w:rsidR="005558B6" w:rsidRPr="005A31CF" w:rsidRDefault="005558B6" w:rsidP="00A66832">
      <w:pPr>
        <w:tabs>
          <w:tab w:val="left" w:pos="1560"/>
        </w:tabs>
        <w:spacing w:after="240" w:line="240" w:lineRule="auto"/>
        <w:ind w:left="360" w:hanging="360"/>
        <w:jc w:val="both"/>
        <w:rPr>
          <w:rFonts w:ascii="Arial" w:eastAsia="Times New Roman" w:hAnsi="Arial" w:cs="Arial"/>
          <w:b/>
          <w:bCs/>
          <w:i/>
          <w:iCs/>
          <w:smallCaps/>
          <w:color w:val="000000"/>
        </w:rPr>
      </w:pPr>
      <w:r w:rsidRPr="005A31CF">
        <w:rPr>
          <w:rFonts w:ascii="Arial" w:eastAsia="Times New Roman" w:hAnsi="Arial" w:cs="Arial"/>
          <w:b/>
        </w:rPr>
        <w:t>C.</w:t>
      </w:r>
      <w:r w:rsidRPr="005A31CF">
        <w:rPr>
          <w:rFonts w:ascii="Arial" w:eastAsia="Times New Roman" w:hAnsi="Arial" w:cs="Arial"/>
          <w:b/>
        </w:rPr>
        <w:tab/>
        <w:t xml:space="preserve">Other Contingent Receivables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b/>
          <w:bCs/>
          <w:i/>
          <w:iCs/>
          <w:smallCaps/>
          <w:color w:val="0000FF"/>
        </w:rPr>
        <w:t>[</w:t>
      </w:r>
      <w:r w:rsidRPr="005A31CF">
        <w:rPr>
          <w:rFonts w:ascii="Arial" w:eastAsia="Times New Roman" w:hAnsi="Arial" w:cs="Arial"/>
          <w:b/>
          <w:bCs/>
          <w:i/>
          <w:iCs/>
          <w:color w:val="0000FF"/>
        </w:rPr>
        <w:t>Describe any other contingent receivable resulting from nonexchange transactions for which disclosure has not already been made that could have a material effect on the financial statements</w:t>
      </w:r>
      <w:r w:rsidRPr="005A31CF">
        <w:rPr>
          <w:rFonts w:ascii="Arial" w:eastAsia="Times New Roman" w:hAnsi="Arial" w:cs="Arial"/>
          <w:b/>
          <w:bCs/>
          <w:i/>
          <w:iCs/>
          <w:smallCaps/>
          <w:color w:val="0000FF"/>
        </w:rPr>
        <w:t>.]</w:t>
      </w:r>
      <w:r w:rsidRPr="005A31CF">
        <w:rPr>
          <w:rFonts w:ascii="Arial" w:eastAsia="Times New Roman" w:hAnsi="Arial" w:cs="Arial"/>
          <w:bCs/>
          <w:iCs/>
          <w:smallCaps/>
          <w:color w:val="000000"/>
        </w:rPr>
        <w:t xml:space="preserve"> </w:t>
      </w:r>
      <w:r w:rsidRPr="005A31CF">
        <w:rPr>
          <w:rFonts w:ascii="Arial" w:eastAsia="Times New Roman" w:hAnsi="Arial" w:cs="Arial"/>
          <w:color w:val="000000"/>
        </w:rPr>
        <w:t>T</w:t>
      </w:r>
      <w:r w:rsidRPr="005A31CF">
        <w:rPr>
          <w:rFonts w:ascii="Arial" w:eastAsia="Times New Roman" w:hAnsi="Arial" w:cs="Arial"/>
        </w:rPr>
        <w:t xml:space="preserve">he College has received notification of other gifts and grants for which funds have not been disbursed by the resource provider and for which conditions attached to the gift or grant have not been satisfied or, in the case of permanent endowments, cannot begin to be satisfied. In accordance with accounting principles generally accepted in the United States of America, these amounts have not been recorded on the accompanying financial statements. The purpose and amount of other contingent receivables at year-end are as </w:t>
      </w:r>
      <w:r w:rsidRPr="005A31CF">
        <w:rPr>
          <w:rFonts w:ascii="Arial" w:eastAsia="Times New Roman" w:hAnsi="Arial" w:cs="Arial"/>
          <w:color w:val="000000"/>
        </w:rPr>
        <w:t>follows:</w:t>
      </w:r>
    </w:p>
    <w:bookmarkStart w:id="339" w:name="_MON_1188278645"/>
    <w:bookmarkStart w:id="340" w:name="_MON_1220949540"/>
    <w:bookmarkEnd w:id="339"/>
    <w:bookmarkEnd w:id="340"/>
    <w:bookmarkStart w:id="341" w:name="_MON_1119091993"/>
    <w:bookmarkEnd w:id="341"/>
    <w:p w14:paraId="6C672083" w14:textId="77777777" w:rsidR="005558B6" w:rsidRPr="005A31CF" w:rsidRDefault="005558B6" w:rsidP="00A66832">
      <w:pPr>
        <w:spacing w:after="240" w:line="240" w:lineRule="auto"/>
        <w:ind w:left="360"/>
        <w:jc w:val="center"/>
        <w:rPr>
          <w:rFonts w:ascii="Arial" w:eastAsia="Times New Roman" w:hAnsi="Arial" w:cs="Arial"/>
        </w:rPr>
      </w:pPr>
      <w:r w:rsidRPr="005A31CF">
        <w:rPr>
          <w:rFonts w:ascii="Arial" w:eastAsia="Times New Roman" w:hAnsi="Arial" w:cs="Arial"/>
        </w:rPr>
        <w:object w:dxaOrig="6275" w:dyaOrig="829" w14:anchorId="53D59DB2">
          <v:shape id="_x0000_i1058" type="#_x0000_t75" style="width:309pt;height:43.5pt" o:ole="">
            <v:imagedata r:id="rId82" o:title=""/>
          </v:shape>
          <o:OLEObject Type="Embed" ProgID="Excel.Sheet.8" ShapeID="_x0000_i1058" DrawAspect="Content" ObjectID="_1721553203" r:id="rId83"/>
        </w:object>
      </w:r>
    </w:p>
    <w:p w14:paraId="4B573906" w14:textId="77777777" w:rsidR="005558B6" w:rsidRPr="005A31CF" w:rsidRDefault="005558B6" w:rsidP="00A66832">
      <w:pPr>
        <w:tabs>
          <w:tab w:val="left" w:pos="1080"/>
        </w:tabs>
        <w:spacing w:after="240" w:line="240" w:lineRule="auto"/>
        <w:ind w:left="360"/>
        <w:rPr>
          <w:rFonts w:ascii="Arial" w:eastAsia="Times New Roman" w:hAnsi="Arial" w:cs="Arial"/>
          <w:b/>
          <w:bCs/>
          <w:i/>
          <w:iCs/>
          <w:color w:val="0000FF"/>
        </w:rPr>
      </w:pPr>
      <w:r w:rsidRPr="005A31CF">
        <w:rPr>
          <w:rFonts w:ascii="Arial" w:eastAsia="Times New Roman" w:hAnsi="Arial" w:cs="Arial"/>
          <w:b/>
          <w:bCs/>
          <w:i/>
          <w:iCs/>
          <w:color w:val="0000FF"/>
        </w:rPr>
        <w:t>[Omit if not applicable.]</w:t>
      </w:r>
    </w:p>
    <w:p w14:paraId="6C3389B2"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bookmarkStart w:id="342" w:name="_Hlk44321483"/>
      <w:r w:rsidRPr="00A66832">
        <w:rPr>
          <w:rFonts w:ascii="Arial Bold" w:eastAsia="Times New Roman" w:hAnsi="Arial Bold" w:cs="Times New Roman"/>
          <w:b/>
          <w:smallCaps/>
          <w:kern w:val="28"/>
          <w:szCs w:val="20"/>
        </w:rPr>
        <w:t>Note 18</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r>
      <w:r w:rsidRPr="00A66832">
        <w:rPr>
          <w:rFonts w:ascii="Arial Bold" w:eastAsia="Times New Roman" w:hAnsi="Arial Bold" w:cs="Times New Roman"/>
          <w:b/>
          <w:smallCaps/>
          <w:kern w:val="28"/>
          <w:szCs w:val="20"/>
          <w:highlight w:val="yellow"/>
        </w:rPr>
        <w:t>[Title]</w:t>
      </w:r>
      <w:r w:rsidRPr="00A66832" w:rsidDel="00EE42A9">
        <w:rPr>
          <w:rFonts w:ascii="Arial Bold" w:eastAsia="Times New Roman" w:hAnsi="Arial Bold" w:cs="Times New Roman"/>
          <w:b/>
          <w:smallCaps/>
          <w:kern w:val="28"/>
          <w:szCs w:val="20"/>
        </w:rPr>
        <w:t xml:space="preserve"> </w:t>
      </w:r>
    </w:p>
    <w:p w14:paraId="10366ECC" w14:textId="77777777" w:rsidR="005558B6" w:rsidRPr="002E3CBF" w:rsidRDefault="005558B6" w:rsidP="00A66832">
      <w:pPr>
        <w:spacing w:after="240" w:line="240" w:lineRule="auto"/>
        <w:jc w:val="both"/>
        <w:rPr>
          <w:rFonts w:ascii="Arial" w:eastAsia="Times New Roman" w:hAnsi="Arial" w:cs="Arial"/>
          <w:b/>
          <w:bCs/>
          <w:i/>
          <w:iCs/>
          <w:color w:val="0000FF"/>
        </w:rPr>
      </w:pPr>
      <w:r w:rsidRPr="00740DB4">
        <w:rPr>
          <w:rFonts w:ascii="Arial" w:eastAsia="Times New Roman" w:hAnsi="Arial" w:cs="Arial"/>
          <w:b/>
          <w:bCs/>
          <w:i/>
          <w:iCs/>
          <w:color w:val="0000FF"/>
        </w:rPr>
        <w:t>[Describe any significant transactions or events that are either unusual or infrequent but not within control of management. A separate disclosure may be required for any government combination and/or disposals of government operations subject to disclosure per GASB 69. Note that this would be a disclosure separate from any items deemed ‘unusual or infrequent’ in nature.</w:t>
      </w:r>
      <w:bookmarkStart w:id="343" w:name="_Hlk44052096"/>
      <w:r>
        <w:rPr>
          <w:rFonts w:ascii="Arial" w:eastAsia="Times New Roman" w:hAnsi="Arial" w:cs="Arial"/>
          <w:b/>
          <w:bCs/>
          <w:i/>
          <w:iCs/>
          <w:color w:val="0000FF"/>
        </w:rPr>
        <w:t>]</w:t>
      </w:r>
    </w:p>
    <w:bookmarkEnd w:id="342"/>
    <w:bookmarkEnd w:id="343"/>
    <w:p w14:paraId="134548C7"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19</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 xml:space="preserve">Related Parties </w:t>
      </w:r>
    </w:p>
    <w:p w14:paraId="6405A467" w14:textId="77777777" w:rsidR="005558B6" w:rsidRPr="005A31CF" w:rsidRDefault="005558B6" w:rsidP="00A66832">
      <w:pPr>
        <w:spacing w:after="240" w:line="240" w:lineRule="auto"/>
        <w:jc w:val="both"/>
        <w:rPr>
          <w:rFonts w:ascii="Arial" w:eastAsia="Times New Roman" w:hAnsi="Arial" w:cs="Arial"/>
          <w:b/>
          <w:i/>
          <w:color w:val="0000FF"/>
        </w:rPr>
      </w:pPr>
      <w:r w:rsidRPr="005A31CF">
        <w:rPr>
          <w:rFonts w:ascii="Arial" w:eastAsia="Times New Roman" w:hAnsi="Arial" w:cs="Arial"/>
          <w:b/>
          <w:i/>
          <w:color w:val="0000FF"/>
        </w:rPr>
        <w:t>[Describe related parties, such as foundations and nonprofit corporations (EXCLUDING COMPONENT UNITS THAT HAVE BEEN BLENDED WITH THE COLLEGE’S FINANCIAL STATEMENTS OR DISCRETELY PRESENTED UNDER GASB 39 REQUIREMENTS</w:t>
      </w:r>
      <w:bookmarkStart w:id="344" w:name="SigTrans"/>
      <w:r w:rsidRPr="005A31CF">
        <w:rPr>
          <w:rFonts w:ascii="Arial" w:eastAsia="Times New Roman" w:hAnsi="Arial" w:cs="Arial"/>
          <w:b/>
          <w:i/>
          <w:color w:val="0000FF"/>
        </w:rPr>
        <w:t xml:space="preserve"> as significant transactions for these entities are disclosed in Note 1</w:t>
      </w:r>
      <w:bookmarkEnd w:id="344"/>
      <w:r w:rsidRPr="005A31CF">
        <w:rPr>
          <w:rFonts w:ascii="Arial" w:eastAsia="Times New Roman" w:hAnsi="Arial" w:cs="Arial"/>
          <w:b/>
          <w:i/>
          <w:color w:val="0000FF"/>
        </w:rPr>
        <w:t>), and disclose the nature and amount of transactions between the College and the related party. For example:]</w:t>
      </w:r>
    </w:p>
    <w:p w14:paraId="4780E067" w14:textId="2A3DB59F" w:rsidR="005558B6" w:rsidRPr="00641103" w:rsidRDefault="005558B6" w:rsidP="00A66832">
      <w:pPr>
        <w:spacing w:after="240" w:line="240" w:lineRule="auto"/>
        <w:jc w:val="both"/>
        <w:rPr>
          <w:rFonts w:ascii="Arial" w:eastAsia="Times New Roman" w:hAnsi="Arial" w:cs="Arial"/>
        </w:rPr>
      </w:pPr>
      <w:r w:rsidRPr="005A31CF">
        <w:rPr>
          <w:rFonts w:ascii="Arial" w:eastAsia="Times New Roman" w:hAnsi="Arial" w:cs="Arial"/>
          <w:b/>
        </w:rPr>
        <w:t xml:space="preserve">Foundation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w:t>
      </w:r>
      <w:r w:rsidRPr="005A31CF">
        <w:rPr>
          <w:rFonts w:ascii="Arial" w:eastAsia="Times New Roman" w:hAnsi="Arial" w:cs="Arial"/>
          <w:b/>
          <w:color w:val="0000FF"/>
        </w:rPr>
        <w:t>[name of the foundation]</w:t>
      </w:r>
      <w:r w:rsidRPr="005A31CF">
        <w:rPr>
          <w:rFonts w:ascii="Arial" w:eastAsia="Times New Roman" w:hAnsi="Arial" w:cs="Arial"/>
        </w:rPr>
        <w:t xml:space="preserve"> is a separately incorporated</w:t>
      </w:r>
      <w:r w:rsidR="008E0373" w:rsidRPr="008E0373">
        <w:rPr>
          <w:rFonts w:ascii="Arial" w:eastAsia="Times New Roman" w:hAnsi="Arial" w:cs="Arial"/>
          <w:highlight w:val="yellow"/>
        </w:rPr>
        <w:t>,</w:t>
      </w:r>
      <w:r w:rsidRPr="005A31CF">
        <w:rPr>
          <w:rFonts w:ascii="Arial" w:eastAsia="Times New Roman" w:hAnsi="Arial" w:cs="Arial"/>
        </w:rPr>
        <w:t xml:space="preserve"> nonprofit foundation associated with the College. This organization serves as the primary fundraising arm of the College through which individuals, corporations, and other organizations support College programs by providing scholarships, fellowships, faculty salary supplements, and unrestricted </w:t>
      </w:r>
      <w:r w:rsidRPr="005A31CF">
        <w:rPr>
          <w:rFonts w:ascii="Arial" w:eastAsia="Times New Roman" w:hAnsi="Arial" w:cs="Arial"/>
        </w:rPr>
        <w:lastRenderedPageBreak/>
        <w:t xml:space="preserve">funds to specific departments and the College’s overall academic environment. The College’s financial statements do not include the assets, liabilities, net position, or </w:t>
      </w:r>
      <w:r w:rsidRPr="00641103">
        <w:rPr>
          <w:rFonts w:ascii="Arial" w:eastAsia="Times New Roman" w:hAnsi="Arial" w:cs="Arial"/>
        </w:rPr>
        <w:t xml:space="preserve">operational transactions of the Foundation, except for support from the Foundation. This support approximated $_______ for the year ended June 30, </w:t>
      </w:r>
      <w:r>
        <w:rPr>
          <w:rFonts w:ascii="Arial" w:eastAsia="Times New Roman" w:hAnsi="Arial" w:cs="Arial"/>
        </w:rPr>
        <w:t>2022</w:t>
      </w:r>
      <w:r w:rsidRPr="00641103">
        <w:rPr>
          <w:rFonts w:ascii="Arial" w:eastAsia="Times New Roman" w:hAnsi="Arial" w:cs="Arial"/>
        </w:rPr>
        <w:t xml:space="preserve">. </w:t>
      </w:r>
      <w:r w:rsidRPr="00641103">
        <w:rPr>
          <w:rFonts w:ascii="Arial" w:hAnsi="Arial" w:cs="Arial"/>
        </w:rPr>
        <w:t xml:space="preserve">The College had receivables from and payables to the related party(ies) of $_____ and $_____, respectively, as of June 30, </w:t>
      </w:r>
      <w:r>
        <w:rPr>
          <w:rFonts w:ascii="Arial" w:hAnsi="Arial" w:cs="Arial"/>
        </w:rPr>
        <w:t>2022</w:t>
      </w:r>
      <w:r w:rsidRPr="00641103">
        <w:rPr>
          <w:rFonts w:ascii="Arial" w:hAnsi="Arial" w:cs="Arial"/>
        </w:rPr>
        <w:t xml:space="preserve">. </w:t>
      </w:r>
      <w:r w:rsidRPr="00641103">
        <w:rPr>
          <w:rFonts w:ascii="Arial" w:hAnsi="Arial" w:cs="Arial"/>
          <w:b/>
          <w:i/>
          <w:color w:val="0000FF"/>
        </w:rPr>
        <w:t>[Remove receivable and/or payable language if not applicable.]</w:t>
      </w:r>
    </w:p>
    <w:p w14:paraId="362DB938"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bookmarkStart w:id="345" w:name="OLE_LINK3"/>
      <w:r w:rsidRPr="00A66832">
        <w:rPr>
          <w:rFonts w:ascii="Arial Bold" w:eastAsia="Times New Roman" w:hAnsi="Arial Bold" w:cs="Times New Roman"/>
          <w:b/>
          <w:smallCaps/>
          <w:kern w:val="28"/>
          <w:szCs w:val="20"/>
        </w:rPr>
        <w:t>Note 20</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Blended Component Unit(s)</w:t>
      </w:r>
    </w:p>
    <w:p w14:paraId="13275F1B" w14:textId="77777777" w:rsidR="005558B6" w:rsidRPr="005A31CF" w:rsidRDefault="005558B6" w:rsidP="00A66832">
      <w:pPr>
        <w:spacing w:after="240" w:line="240" w:lineRule="auto"/>
        <w:jc w:val="both"/>
        <w:rPr>
          <w:rFonts w:ascii="Arial" w:eastAsia="Times New Roman" w:hAnsi="Arial" w:cs="Arial"/>
        </w:rPr>
      </w:pPr>
      <w:bookmarkStart w:id="346" w:name="OLE_LINK66"/>
      <w:bookmarkEnd w:id="345"/>
      <w:r w:rsidRPr="00641103">
        <w:rPr>
          <w:rFonts w:ascii="Arial" w:eastAsia="Times New Roman" w:hAnsi="Arial" w:cs="Arial"/>
        </w:rPr>
        <w:t>Condensed combining information for the College’s blended component unit(</w:t>
      </w:r>
      <w:r w:rsidRPr="00641103">
        <w:rPr>
          <w:rFonts w:ascii="Arial" w:eastAsia="Times New Roman" w:hAnsi="Arial" w:cs="Arial"/>
          <w:i/>
        </w:rPr>
        <w:t>s</w:t>
      </w:r>
      <w:r w:rsidRPr="00641103">
        <w:rPr>
          <w:rFonts w:ascii="Arial" w:eastAsia="Times New Roman" w:hAnsi="Arial" w:cs="Arial"/>
        </w:rPr>
        <w:t>) for the year ended June 30,</w:t>
      </w:r>
      <w:r>
        <w:rPr>
          <w:rFonts w:ascii="Arial" w:eastAsia="Times New Roman" w:hAnsi="Arial" w:cs="Arial"/>
        </w:rPr>
        <w:t xml:space="preserve"> 2022</w:t>
      </w:r>
      <w:r w:rsidRPr="005A31CF">
        <w:rPr>
          <w:rFonts w:ascii="Arial" w:eastAsia="Times New Roman" w:hAnsi="Arial" w:cs="Arial"/>
        </w:rPr>
        <w:t xml:space="preserve">, is presented as follows: </w:t>
      </w:r>
    </w:p>
    <w:bookmarkEnd w:id="346"/>
    <w:p w14:paraId="68784667" w14:textId="77777777" w:rsidR="005558B6" w:rsidRPr="005A31CF" w:rsidRDefault="005558B6" w:rsidP="00A66832">
      <w:pPr>
        <w:spacing w:after="240" w:line="240" w:lineRule="auto"/>
        <w:jc w:val="both"/>
        <w:rPr>
          <w:rFonts w:ascii="Arial" w:eastAsia="Times New Roman" w:hAnsi="Arial" w:cs="Arial"/>
          <w:b/>
          <w:i/>
          <w:color w:val="0000FF"/>
        </w:rPr>
      </w:pPr>
      <w:r w:rsidRPr="005A31CF">
        <w:rPr>
          <w:rFonts w:ascii="Arial" w:eastAsia="Times New Roman" w:hAnsi="Arial" w:cs="Arial"/>
          <w:b/>
          <w:i/>
          <w:color w:val="0000FF"/>
        </w:rPr>
        <w:t xml:space="preserve">Note to preparer: See GASB 61 paragraph 9 for complete requirements of the condensed combining information. The following example template was developed based off on these requirements. Amounts in the primary government and Blended Component Unit columns should be gross before blending of the component units and any eliminations between the College and the component unit. The total column should agree to the respective financial statement. Amounts receivable from or payable to the primary government or other component units should be reported separately in the Eliminations columns in the SNP and SRECNP below. This elimination column should total to zero. If there are any significant eliminations that should be explained separately, add them below the condensed combining financial statements in a separate paragraph. Complete for all blended component units. Modify as necessary. </w:t>
      </w:r>
    </w:p>
    <w:p w14:paraId="6931D514" w14:textId="77777777" w:rsidR="005558B6" w:rsidRPr="005A31CF" w:rsidRDefault="005558B6" w:rsidP="005558B6">
      <w:pPr>
        <w:spacing w:after="0" w:line="240" w:lineRule="auto"/>
        <w:jc w:val="both"/>
        <w:rPr>
          <w:rFonts w:ascii="Arial" w:eastAsia="Times New Roman" w:hAnsi="Arial" w:cs="Arial"/>
          <w:b/>
          <w:i/>
          <w:color w:val="0000FF"/>
        </w:rPr>
      </w:pPr>
    </w:p>
    <w:bookmarkStart w:id="347" w:name="_MON_1192364317"/>
    <w:bookmarkStart w:id="348" w:name="_MON_1208244789"/>
    <w:bookmarkStart w:id="349" w:name="_MON_1208245503"/>
    <w:bookmarkStart w:id="350" w:name="_MON_1220941085"/>
    <w:bookmarkStart w:id="351" w:name="_MON_1220941113"/>
    <w:bookmarkStart w:id="352" w:name="_MON_1220941418"/>
    <w:bookmarkStart w:id="353" w:name="_MON_1220941431"/>
    <w:bookmarkStart w:id="354" w:name="_MON_1243143787"/>
    <w:bookmarkStart w:id="355" w:name="_MON_1246779975"/>
    <w:bookmarkStart w:id="356" w:name="_MON_1264248475"/>
    <w:bookmarkStart w:id="357" w:name="_MON_1276942072"/>
    <w:bookmarkStart w:id="358" w:name="_MON_1283838914"/>
    <w:bookmarkStart w:id="359" w:name="_MON_1300273530"/>
    <w:bookmarkStart w:id="360" w:name="_MON_1302418691"/>
    <w:bookmarkStart w:id="361" w:name="_MON_1331964682"/>
    <w:bookmarkStart w:id="362" w:name="_MON_1331965965"/>
    <w:bookmarkStart w:id="363" w:name="_MON_1340111319"/>
    <w:bookmarkStart w:id="364" w:name="_MON_1349263984"/>
    <w:bookmarkStart w:id="365" w:name="_MON_1349264014"/>
    <w:bookmarkStart w:id="366" w:name="_MON_1362377535"/>
    <w:bookmarkStart w:id="367" w:name="_MON_1372850722"/>
    <w:bookmarkStart w:id="368" w:name="_MON_1375524119"/>
    <w:bookmarkStart w:id="369" w:name="_MON_1401869000"/>
    <w:bookmarkStart w:id="370" w:name="_MON_1421065262"/>
    <w:bookmarkStart w:id="371" w:name="_MON_1421493705"/>
    <w:bookmarkStart w:id="372" w:name="_MON_1421493804"/>
    <w:bookmarkStart w:id="373" w:name="_MON_1421494123"/>
    <w:bookmarkStart w:id="374" w:name="_MON_1421494145"/>
    <w:bookmarkStart w:id="375" w:name="_MON_1421494169"/>
    <w:bookmarkStart w:id="376" w:name="_MON_1421494404"/>
    <w:bookmarkStart w:id="377" w:name="_MON_1421494417"/>
    <w:bookmarkStart w:id="378" w:name="_MON_1421494764"/>
    <w:bookmarkStart w:id="379" w:name="_MON_1421495003"/>
    <w:bookmarkStart w:id="380" w:name="_MON_1421495088"/>
    <w:bookmarkStart w:id="381" w:name="_MON_1421495198"/>
    <w:bookmarkStart w:id="382" w:name="_MON_1421496347"/>
    <w:bookmarkStart w:id="383" w:name="_MON_1421497165"/>
    <w:bookmarkStart w:id="384" w:name="_MON_1421497173"/>
    <w:bookmarkStart w:id="385" w:name="_MON_1421497208"/>
    <w:bookmarkStart w:id="386" w:name="_MON_1421497230"/>
    <w:bookmarkStart w:id="387" w:name="_MON_1421497284"/>
    <w:bookmarkStart w:id="388" w:name="_MON_1421497299"/>
    <w:bookmarkStart w:id="389" w:name="_MON_1421497310"/>
    <w:bookmarkStart w:id="390" w:name="_MON_1421497390"/>
    <w:bookmarkStart w:id="391" w:name="_MON_1421497509"/>
    <w:bookmarkStart w:id="392" w:name="_MON_1421497524"/>
    <w:bookmarkStart w:id="393" w:name="_MON_1421497588"/>
    <w:bookmarkStart w:id="394" w:name="_MON_1421497115"/>
    <w:bookmarkStart w:id="395" w:name="_MON_1421497600"/>
    <w:bookmarkStart w:id="396" w:name="_MON_1421557221"/>
    <w:bookmarkStart w:id="397" w:name="_MON_1421561003"/>
    <w:bookmarkStart w:id="398" w:name="_MON_1421561212"/>
    <w:bookmarkStart w:id="399" w:name="_MON_1421561333"/>
    <w:bookmarkStart w:id="400" w:name="_MON_1421561345"/>
    <w:bookmarkStart w:id="401" w:name="_MON_1421561369"/>
    <w:bookmarkStart w:id="402" w:name="_MON_1421561386"/>
    <w:bookmarkStart w:id="403" w:name="_MON_1119000302"/>
    <w:bookmarkStart w:id="404" w:name="_MON_1119000470"/>
    <w:bookmarkStart w:id="405" w:name="_MON_1119089002"/>
    <w:bookmarkStart w:id="406" w:name="_MON_1119169473"/>
    <w:bookmarkStart w:id="407" w:name="_MON_1119169513"/>
    <w:bookmarkStart w:id="408" w:name="_MON_1148646629"/>
    <w:bookmarkStart w:id="409" w:name="_MON_118821939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Start w:id="410" w:name="_MON_1188284564"/>
    <w:bookmarkEnd w:id="410"/>
    <w:p w14:paraId="37C83D2D" w14:textId="77777777" w:rsidR="005558B6" w:rsidRDefault="005558B6" w:rsidP="00A66832">
      <w:pPr>
        <w:spacing w:after="240" w:line="240" w:lineRule="auto"/>
        <w:jc w:val="center"/>
        <w:rPr>
          <w:rFonts w:ascii="Arial" w:eastAsia="Times New Roman" w:hAnsi="Arial" w:cs="Arial"/>
        </w:rPr>
      </w:pPr>
      <w:r w:rsidRPr="007B192E">
        <w:rPr>
          <w:rFonts w:ascii="Arial" w:eastAsia="Times New Roman" w:hAnsi="Arial" w:cs="Arial"/>
        </w:rPr>
        <w:object w:dxaOrig="12347" w:dyaOrig="7099" w14:anchorId="450F9306">
          <v:shape id="_x0000_i1059" type="#_x0000_t75" style="width:475.5pt;height:295.5pt" o:ole="">
            <v:imagedata r:id="rId84" o:title=""/>
            <o:lock v:ext="edit" aspectratio="f"/>
          </v:shape>
          <o:OLEObject Type="Embed" ProgID="Excel.Sheet.12" ShapeID="_x0000_i1059" DrawAspect="Content" ObjectID="_1721553204" r:id="rId85"/>
        </w:object>
      </w:r>
    </w:p>
    <w:bookmarkStart w:id="411" w:name="_MON_1559112458"/>
    <w:bookmarkStart w:id="412" w:name="_MON_1581769595"/>
    <w:bookmarkStart w:id="413" w:name="_MON_1560459873"/>
    <w:bookmarkEnd w:id="411"/>
    <w:bookmarkEnd w:id="412"/>
    <w:bookmarkEnd w:id="413"/>
    <w:bookmarkStart w:id="414" w:name="_MON_1560463171"/>
    <w:bookmarkEnd w:id="414"/>
    <w:p w14:paraId="17DFCA2E" w14:textId="77777777" w:rsidR="005558B6" w:rsidRPr="005A31CF" w:rsidRDefault="005558B6" w:rsidP="005558B6">
      <w:pPr>
        <w:spacing w:after="240" w:line="240" w:lineRule="auto"/>
        <w:jc w:val="center"/>
        <w:rPr>
          <w:rFonts w:ascii="Arial" w:eastAsia="Times New Roman" w:hAnsi="Arial" w:cs="Arial"/>
        </w:rPr>
      </w:pPr>
      <w:r>
        <w:rPr>
          <w:rFonts w:ascii="Arial" w:hAnsi="Arial" w:cs="Arial"/>
        </w:rPr>
        <w:object w:dxaOrig="12802" w:dyaOrig="9917" w14:anchorId="01883376">
          <v:shape id="_x0000_i1060" type="#_x0000_t75" style="width:483pt;height:410.25pt" o:ole="">
            <v:imagedata r:id="rId86" o:title=""/>
          </v:shape>
          <o:OLEObject Type="Embed" ProgID="Excel.Sheet.12" ShapeID="_x0000_i1060" DrawAspect="Content" ObjectID="_1721553205" r:id="rId87"/>
        </w:object>
      </w:r>
    </w:p>
    <w:bookmarkStart w:id="415" w:name="_MON_1559112667"/>
    <w:bookmarkStart w:id="416" w:name="_MON_1560459990"/>
    <w:bookmarkEnd w:id="415"/>
    <w:bookmarkEnd w:id="416"/>
    <w:bookmarkStart w:id="417" w:name="_MON_1688541218"/>
    <w:bookmarkEnd w:id="417"/>
    <w:p w14:paraId="7F5C1096" w14:textId="773A6239" w:rsidR="005558B6" w:rsidRPr="005A31CF" w:rsidRDefault="007A624D" w:rsidP="00A66832">
      <w:pPr>
        <w:spacing w:after="240" w:line="240" w:lineRule="auto"/>
        <w:ind w:left="-1350"/>
        <w:jc w:val="center"/>
        <w:rPr>
          <w:rFonts w:ascii="Arial" w:eastAsia="Times New Roman" w:hAnsi="Arial" w:cs="Arial"/>
        </w:rPr>
      </w:pPr>
      <w:r>
        <w:object w:dxaOrig="15523" w:dyaOrig="4024" w14:anchorId="612AE705">
          <v:shape id="_x0000_i1061" type="#_x0000_t75" style="width:591pt;height:165.75pt" o:ole="">
            <v:imagedata r:id="rId88" o:title=""/>
          </v:shape>
          <o:OLEObject Type="Embed" ProgID="Excel.Sheet.8" ShapeID="_x0000_i1061" DrawAspect="Content" ObjectID="_1721553206" r:id="rId89"/>
        </w:object>
      </w:r>
    </w:p>
    <w:p w14:paraId="09F54E72"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lastRenderedPageBreak/>
        <w:t>Note 21</w:t>
      </w:r>
      <w:r w:rsidRPr="00A66832">
        <w:rPr>
          <w:rFonts w:ascii="Arial Bold" w:eastAsia="Times New Roman" w:hAnsi="Arial Bold" w:cs="Times New Roman"/>
          <w:b/>
          <w:smallCaps/>
          <w:kern w:val="28"/>
          <w:szCs w:val="20"/>
        </w:rPr>
        <w:tab/>
        <w:t xml:space="preserve"> - </w:t>
      </w:r>
      <w:r w:rsidRPr="00A66832">
        <w:rPr>
          <w:rFonts w:ascii="Arial Bold" w:eastAsia="Times New Roman" w:hAnsi="Arial Bold" w:cs="Times New Roman"/>
          <w:b/>
          <w:smallCaps/>
          <w:kern w:val="28"/>
          <w:szCs w:val="20"/>
        </w:rPr>
        <w:tab/>
        <w:t>Changes in Financial Accounting and Reporting</w:t>
      </w:r>
    </w:p>
    <w:p w14:paraId="22CF19F2" w14:textId="77777777" w:rsidR="005558B6" w:rsidRDefault="005558B6" w:rsidP="00A66832">
      <w:pPr>
        <w:spacing w:after="240" w:line="240" w:lineRule="auto"/>
        <w:jc w:val="both"/>
        <w:rPr>
          <w:rFonts w:ascii="Arial" w:eastAsia="Times New Roman" w:hAnsi="Arial" w:cs="Arial"/>
        </w:rPr>
      </w:pPr>
      <w:r w:rsidRPr="00483131">
        <w:rPr>
          <w:rFonts w:ascii="Arial" w:eastAsia="Times New Roman" w:hAnsi="Arial" w:cs="Arial"/>
        </w:rPr>
        <w:t xml:space="preserve">For the fiscal year ended June 30, </w:t>
      </w:r>
      <w:r>
        <w:rPr>
          <w:rFonts w:ascii="Arial" w:eastAsia="Times New Roman" w:hAnsi="Arial" w:cs="Arial"/>
        </w:rPr>
        <w:t>2022</w:t>
      </w:r>
      <w:r w:rsidRPr="00483131">
        <w:rPr>
          <w:rFonts w:ascii="Arial" w:eastAsia="Times New Roman" w:hAnsi="Arial" w:cs="Arial"/>
        </w:rPr>
        <w:t xml:space="preserve">, the </w:t>
      </w:r>
      <w:r>
        <w:rPr>
          <w:rFonts w:ascii="Arial" w:eastAsia="Times New Roman" w:hAnsi="Arial" w:cs="Arial"/>
        </w:rPr>
        <w:t>College</w:t>
      </w:r>
      <w:r w:rsidRPr="00483131">
        <w:rPr>
          <w:rFonts w:ascii="Arial" w:eastAsia="Times New Roman" w:hAnsi="Arial" w:cs="Arial"/>
        </w:rPr>
        <w:t xml:space="preserve"> implemented the following pronouncements issued by the Governmental Accounting Standards Board (GASB):</w:t>
      </w:r>
    </w:p>
    <w:p w14:paraId="151C0E93" w14:textId="3831B807" w:rsidR="00E23FE9" w:rsidRDefault="00E23FE9" w:rsidP="00817308">
      <w:pPr>
        <w:autoSpaceDE w:val="0"/>
        <w:autoSpaceDN w:val="0"/>
        <w:adjustRightInd w:val="0"/>
        <w:spacing w:after="240" w:line="240" w:lineRule="auto"/>
        <w:ind w:left="720"/>
        <w:jc w:val="both"/>
        <w:rPr>
          <w:rFonts w:ascii="Arial" w:hAnsi="Arial" w:cs="Arial"/>
          <w:i/>
          <w:highlight w:val="yellow"/>
        </w:rPr>
      </w:pPr>
      <w:r w:rsidRPr="00C825BB">
        <w:rPr>
          <w:rFonts w:ascii="Arial" w:hAnsi="Arial" w:cs="Arial"/>
          <w:i/>
          <w:highlight w:val="yellow"/>
        </w:rPr>
        <w:t>GASB Statement No. 8</w:t>
      </w:r>
      <w:r>
        <w:rPr>
          <w:rFonts w:ascii="Arial" w:hAnsi="Arial" w:cs="Arial"/>
          <w:i/>
          <w:highlight w:val="yellow"/>
        </w:rPr>
        <w:t>7</w:t>
      </w:r>
      <w:r w:rsidRPr="00C825BB">
        <w:rPr>
          <w:rFonts w:ascii="Arial" w:hAnsi="Arial" w:cs="Arial"/>
          <w:i/>
          <w:highlight w:val="yellow"/>
        </w:rPr>
        <w:t>, Leases</w:t>
      </w:r>
      <w:bookmarkStart w:id="418" w:name="_Hlk104966797"/>
    </w:p>
    <w:p w14:paraId="5F4A3F7A" w14:textId="192DDE4C" w:rsidR="00E23FE9" w:rsidRPr="00E23FE9" w:rsidRDefault="00E23FE9" w:rsidP="00817308">
      <w:pPr>
        <w:autoSpaceDE w:val="0"/>
        <w:autoSpaceDN w:val="0"/>
        <w:adjustRightInd w:val="0"/>
        <w:spacing w:after="240" w:line="240" w:lineRule="auto"/>
        <w:ind w:left="720"/>
        <w:jc w:val="both"/>
        <w:rPr>
          <w:rFonts w:ascii="Arial" w:hAnsi="Arial" w:cs="Arial"/>
          <w:i/>
        </w:rPr>
      </w:pPr>
      <w:r w:rsidRPr="00F60FF4">
        <w:rPr>
          <w:rFonts w:ascii="Arial" w:hAnsi="Arial" w:cs="Arial"/>
          <w:i/>
        </w:rPr>
        <w:t>GASB Statement No. 93, Replacement of Interbank Offered Rates</w:t>
      </w:r>
    </w:p>
    <w:p w14:paraId="39AF6B60" w14:textId="0FB5C149" w:rsidR="00E23FE9" w:rsidRPr="00E23FE9" w:rsidRDefault="00E23FE9" w:rsidP="00817308">
      <w:pPr>
        <w:autoSpaceDE w:val="0"/>
        <w:autoSpaceDN w:val="0"/>
        <w:adjustRightInd w:val="0"/>
        <w:spacing w:after="240" w:line="240" w:lineRule="auto"/>
        <w:ind w:left="720"/>
        <w:jc w:val="both"/>
        <w:rPr>
          <w:rFonts w:ascii="Arial" w:hAnsi="Arial" w:cs="Arial"/>
          <w:i/>
        </w:rPr>
      </w:pPr>
      <w:r w:rsidRPr="00F60FF4">
        <w:rPr>
          <w:rFonts w:ascii="Arial" w:hAnsi="Arial" w:cs="Arial"/>
          <w:i/>
        </w:rPr>
        <w:t>GASB Statement No. 97, Certain Component Unit Criteria, and Accounting and Financial Reporting for Internal Revenue Code Section 457 Deferred Compensation Plans</w:t>
      </w:r>
    </w:p>
    <w:p w14:paraId="1E36A99B" w14:textId="4AC4BF6C" w:rsidR="00E23FE9" w:rsidRPr="00C825BB" w:rsidRDefault="00E23FE9" w:rsidP="00817308">
      <w:pPr>
        <w:autoSpaceDE w:val="0"/>
        <w:autoSpaceDN w:val="0"/>
        <w:adjustRightInd w:val="0"/>
        <w:spacing w:after="240" w:line="240" w:lineRule="auto"/>
        <w:ind w:left="720"/>
        <w:jc w:val="both"/>
        <w:rPr>
          <w:rFonts w:ascii="Arial" w:hAnsi="Arial" w:cs="Arial"/>
          <w:i/>
          <w:highlight w:val="yellow"/>
        </w:rPr>
      </w:pPr>
      <w:r w:rsidRPr="007E6F30">
        <w:rPr>
          <w:rFonts w:ascii="Arial" w:hAnsi="Arial" w:cs="Arial"/>
          <w:i/>
          <w:highlight w:val="yellow"/>
        </w:rPr>
        <w:t>GASB Statement No. 99, Omnibus 2022</w:t>
      </w:r>
      <w:bookmarkEnd w:id="418"/>
    </w:p>
    <w:p w14:paraId="32156A9D" w14:textId="77777777" w:rsidR="00E23FE9" w:rsidRDefault="00E23FE9" w:rsidP="00817308">
      <w:pPr>
        <w:pStyle w:val="armleftmargin000"/>
        <w:jc w:val="both"/>
        <w:rPr>
          <w:rFonts w:ascii="Arial" w:hAnsi="Arial" w:cs="Arial"/>
          <w:sz w:val="22"/>
          <w:szCs w:val="22"/>
          <w:highlight w:val="yellow"/>
        </w:rPr>
      </w:pPr>
      <w:r>
        <w:rPr>
          <w:rFonts w:ascii="Arial" w:hAnsi="Arial" w:cs="Arial"/>
          <w:sz w:val="22"/>
          <w:szCs w:val="22"/>
          <w:highlight w:val="yellow"/>
        </w:rPr>
        <w:t>GASB Statement No. 87</w:t>
      </w:r>
      <w:r w:rsidRPr="00C825BB">
        <w:rPr>
          <w:rFonts w:ascii="Arial" w:hAnsi="Arial" w:cs="Arial"/>
          <w:sz w:val="22"/>
          <w:szCs w:val="22"/>
          <w:highlight w:val="yellow"/>
        </w:rPr>
        <w:t xml:space="preserve"> increases the usefulness of governments’ financial statements by requiring recognition of certain lease assets and liabilities for leases that previously were classified as operating leases and recognized as inflows of resources or outflows of resources based on the payment provisions of the contract.</w:t>
      </w:r>
      <w:r>
        <w:rPr>
          <w:rFonts w:ascii="Arial" w:hAnsi="Arial" w:cs="Arial"/>
          <w:sz w:val="22"/>
          <w:szCs w:val="22"/>
          <w:highlight w:val="yellow"/>
        </w:rPr>
        <w:t xml:space="preserve"> It establishes a single model for lease accounting based on the foundation principle that leases are financings of the right to use an underlying asset. Under this Statement, a lessee is required to recognize a lease liability and an intangible right-to-use lease asset, and a lessor is required to recognize a lease receivable and a deferred inflow of resources, thereby enhancing the relevance and consistency of information about governments’ leasing activities. </w:t>
      </w:r>
    </w:p>
    <w:p w14:paraId="697A2B01" w14:textId="756DE1D3" w:rsidR="00E23FE9" w:rsidRPr="00782019" w:rsidRDefault="00E23FE9" w:rsidP="00817308">
      <w:pPr>
        <w:pStyle w:val="armleftmargin000"/>
        <w:jc w:val="both"/>
        <w:rPr>
          <w:rFonts w:ascii="Arial" w:hAnsi="Arial" w:cs="Arial"/>
          <w:sz w:val="22"/>
          <w:szCs w:val="22"/>
          <w:highlight w:val="yellow"/>
          <w:lang w:val="en"/>
        </w:rPr>
      </w:pPr>
      <w:bookmarkStart w:id="419" w:name="_GoBack"/>
      <w:bookmarkEnd w:id="419"/>
      <w:r w:rsidRPr="00F60FF4">
        <w:rPr>
          <w:rFonts w:ascii="Arial" w:hAnsi="Arial" w:cs="Arial"/>
          <w:sz w:val="22"/>
          <w:szCs w:val="22"/>
          <w:lang w:val="en"/>
        </w:rPr>
        <w:t>GASB Statement No. 93 addresses those and other accounting and financial reporting implications that result from the replacement of an Interbank Offered Rate (IBOR)</w:t>
      </w:r>
      <w:r w:rsidRPr="00782019">
        <w:rPr>
          <w:rFonts w:ascii="Arial" w:hAnsi="Arial" w:cs="Arial"/>
          <w:sz w:val="22"/>
          <w:szCs w:val="22"/>
          <w:highlight w:val="yellow"/>
          <w:lang w:val="en"/>
        </w:rPr>
        <w:t xml:space="preserve"> </w:t>
      </w:r>
      <w:r w:rsidRPr="004A0B7D">
        <w:rPr>
          <w:rFonts w:ascii="Arial" w:hAnsi="Arial" w:cs="Arial"/>
          <w:sz w:val="22"/>
          <w:szCs w:val="22"/>
          <w:highlight w:val="yellow"/>
          <w:lang w:val="en"/>
        </w:rPr>
        <w:t>for derivative instruments, leases, and other agreements in which variable payments made or received depend on an IBOR.</w:t>
      </w:r>
      <w:r>
        <w:rPr>
          <w:rFonts w:ascii="Arial" w:hAnsi="Arial" w:cs="Arial"/>
          <w:sz w:val="22"/>
          <w:szCs w:val="22"/>
          <w:highlight w:val="yellow"/>
          <w:lang w:val="en"/>
        </w:rPr>
        <w:t xml:space="preserve"> </w:t>
      </w:r>
      <w:r w:rsidRPr="00CD5074">
        <w:rPr>
          <w:rFonts w:ascii="Arial" w:hAnsi="Arial" w:cs="Arial"/>
          <w:b/>
          <w:i/>
          <w:color w:val="0000FF"/>
          <w:sz w:val="22"/>
          <w:szCs w:val="22"/>
          <w:highlight w:val="yellow"/>
          <w:lang w:val="en"/>
        </w:rPr>
        <w:t>[Note to Preparer: Some of the accounting and reporting requirements of GASB Statement No. 93 were effective for FY2021, and some are effective for FY22. Prepare</w:t>
      </w:r>
      <w:r w:rsidR="006B0CE1">
        <w:rPr>
          <w:rFonts w:ascii="Arial" w:hAnsi="Arial" w:cs="Arial"/>
          <w:b/>
          <w:i/>
          <w:color w:val="0000FF"/>
          <w:sz w:val="22"/>
          <w:szCs w:val="22"/>
          <w:highlight w:val="yellow"/>
          <w:lang w:val="en"/>
        </w:rPr>
        <w:t>r</w:t>
      </w:r>
      <w:r w:rsidRPr="00CD5074">
        <w:rPr>
          <w:rFonts w:ascii="Arial" w:hAnsi="Arial" w:cs="Arial"/>
          <w:b/>
          <w:i/>
          <w:color w:val="0000FF"/>
          <w:sz w:val="22"/>
          <w:szCs w:val="22"/>
          <w:highlight w:val="yellow"/>
          <w:lang w:val="en"/>
        </w:rPr>
        <w:t>s should review the Statement and evaluate whether the accounting and reporting requirements effective for FY22 are applicable to their College.]</w:t>
      </w:r>
    </w:p>
    <w:p w14:paraId="78AB6F31" w14:textId="5A9A885B" w:rsidR="00E23FE9" w:rsidRPr="00F60FF4" w:rsidRDefault="00E23FE9" w:rsidP="00817308">
      <w:pPr>
        <w:pStyle w:val="armleftmargin000"/>
        <w:jc w:val="both"/>
        <w:rPr>
          <w:rFonts w:ascii="Arial" w:hAnsi="Arial" w:cs="Arial"/>
          <w:sz w:val="22"/>
          <w:szCs w:val="22"/>
          <w:lang w:val="en"/>
        </w:rPr>
      </w:pPr>
      <w:r w:rsidRPr="00F60FF4">
        <w:rPr>
          <w:rFonts w:ascii="Arial" w:hAnsi="Arial" w:cs="Arial"/>
          <w:sz w:val="22"/>
          <w:szCs w:val="22"/>
          <w:lang w:val="en"/>
        </w:rPr>
        <w:t xml:space="preserve">GASB Statement No. 97 primary objects are to </w:t>
      </w:r>
      <w:r w:rsidRPr="00F60FF4">
        <w:rPr>
          <w:rFonts w:ascii="Arial" w:hAnsi="Arial" w:cs="Arial"/>
          <w:sz w:val="22"/>
          <w:szCs w:val="20"/>
        </w:rPr>
        <w:t>(1) increase consistency and comparability related to the reporting of fiduciary component units in circumstances in which a potential component unit does not have a governing board and the primary government performs the duties that a governing board typically would perform; (2) mitigate costs associated with the reporting of certain defined contribution pension plans, defined contribution other postemployment benefit (OPEB) plans, and employee benefit plans other than pension plans or OPEB plans (other employee benefit plans) as fiduciary component units in fiduciary fund financial statements; and (3) enhance the relevance, consistency, and comparability of the accounting and financial reporting for Internal Revenue Code (IRC) Section 457 deferred compensation plans (Section 457 plans) that meet the definition of a pension plan and for benefits provided through those plans.</w:t>
      </w:r>
      <w:r>
        <w:rPr>
          <w:rFonts w:ascii="Arial" w:hAnsi="Arial" w:cs="Arial"/>
          <w:sz w:val="22"/>
          <w:szCs w:val="20"/>
        </w:rPr>
        <w:t xml:space="preserve"> </w:t>
      </w:r>
      <w:r w:rsidRPr="00CD5074">
        <w:rPr>
          <w:rFonts w:ascii="Arial" w:hAnsi="Arial" w:cs="Arial"/>
          <w:b/>
          <w:i/>
          <w:color w:val="0000FF"/>
          <w:sz w:val="22"/>
          <w:szCs w:val="22"/>
          <w:highlight w:val="yellow"/>
          <w:lang w:val="en"/>
        </w:rPr>
        <w:t>[Note to Preparer: Some of the accounting and reporting requirements of GASB Statement No. 97 were effective in a prior fiscal year, and some are effective for FY22. Prepare</w:t>
      </w:r>
      <w:r w:rsidR="006B0CE1">
        <w:rPr>
          <w:rFonts w:ascii="Arial" w:hAnsi="Arial" w:cs="Arial"/>
          <w:b/>
          <w:i/>
          <w:color w:val="0000FF"/>
          <w:sz w:val="22"/>
          <w:szCs w:val="22"/>
          <w:highlight w:val="yellow"/>
          <w:lang w:val="en"/>
        </w:rPr>
        <w:t>r</w:t>
      </w:r>
      <w:r w:rsidRPr="00CD5074">
        <w:rPr>
          <w:rFonts w:ascii="Arial" w:hAnsi="Arial" w:cs="Arial"/>
          <w:b/>
          <w:i/>
          <w:color w:val="0000FF"/>
          <w:sz w:val="22"/>
          <w:szCs w:val="22"/>
          <w:highlight w:val="yellow"/>
          <w:lang w:val="en"/>
        </w:rPr>
        <w:t>s should review the Statement and evaluate whether the accounting and reporting requirements effective for FY22 are applicable to their College.]</w:t>
      </w:r>
    </w:p>
    <w:p w14:paraId="15FA2387" w14:textId="2767F7CF" w:rsidR="00E23FE9" w:rsidRPr="00C825BB" w:rsidRDefault="00E23FE9" w:rsidP="00817308">
      <w:pPr>
        <w:pStyle w:val="armleftmargin000"/>
        <w:jc w:val="both"/>
        <w:rPr>
          <w:rFonts w:ascii="Arial" w:hAnsi="Arial" w:cs="Arial"/>
          <w:sz w:val="22"/>
          <w:szCs w:val="22"/>
          <w:highlight w:val="yellow"/>
        </w:rPr>
      </w:pPr>
      <w:r>
        <w:rPr>
          <w:rFonts w:ascii="Arial" w:hAnsi="Arial" w:cs="Arial"/>
          <w:sz w:val="22"/>
          <w:szCs w:val="22"/>
          <w:highlight w:val="yellow"/>
        </w:rPr>
        <w:lastRenderedPageBreak/>
        <w:t xml:space="preserve">GASB Statement No. 99 enhances comparability in accounting and financial reporting and improves consistency of authoritative literature by addressing (1) practice issues that have been identified during implementation and application of certain GASB Statements and (2) accounting and financial reporting for financial guarantees. </w:t>
      </w:r>
      <w:r w:rsidRPr="00CD5074">
        <w:rPr>
          <w:rFonts w:ascii="Arial" w:hAnsi="Arial" w:cs="Arial"/>
          <w:b/>
          <w:i/>
          <w:color w:val="0000FF"/>
          <w:sz w:val="22"/>
          <w:szCs w:val="22"/>
          <w:highlight w:val="yellow"/>
          <w:lang w:val="en"/>
        </w:rPr>
        <w:t>[Note to Preparer: Some of the accounting and reporting requirements of GASB Statement No. 99 are effective for FY22 and some are effective in future years. Prepare</w:t>
      </w:r>
      <w:r w:rsidR="006B0CE1">
        <w:rPr>
          <w:rFonts w:ascii="Arial" w:hAnsi="Arial" w:cs="Arial"/>
          <w:b/>
          <w:i/>
          <w:color w:val="0000FF"/>
          <w:sz w:val="22"/>
          <w:szCs w:val="22"/>
          <w:highlight w:val="yellow"/>
          <w:lang w:val="en"/>
        </w:rPr>
        <w:t>r</w:t>
      </w:r>
      <w:r w:rsidRPr="00CD5074">
        <w:rPr>
          <w:rFonts w:ascii="Arial" w:hAnsi="Arial" w:cs="Arial"/>
          <w:b/>
          <w:i/>
          <w:color w:val="0000FF"/>
          <w:sz w:val="22"/>
          <w:szCs w:val="22"/>
          <w:highlight w:val="yellow"/>
          <w:lang w:val="en"/>
        </w:rPr>
        <w:t>s should review the Statement and evaluate whether the accounting and reporting requirements effective for FY22 are applicable to their College.]</w:t>
      </w:r>
    </w:p>
    <w:p w14:paraId="209A48BF" w14:textId="77777777" w:rsidR="005558B6" w:rsidRPr="000E524E" w:rsidRDefault="005558B6" w:rsidP="00A66832">
      <w:pPr>
        <w:pStyle w:val="armleftmargin000"/>
        <w:spacing w:after="0"/>
        <w:jc w:val="both"/>
        <w:rPr>
          <w:rFonts w:ascii="Arial" w:hAnsi="Arial" w:cs="Arial"/>
          <w:sz w:val="22"/>
          <w:szCs w:val="22"/>
          <w:highlight w:val="yellow"/>
        </w:rPr>
      </w:pPr>
    </w:p>
    <w:p w14:paraId="59E59C5B" w14:textId="77777777" w:rsidR="005558B6" w:rsidRDefault="005558B6" w:rsidP="00A66832">
      <w:pPr>
        <w:spacing w:after="240" w:line="240" w:lineRule="auto"/>
        <w:jc w:val="both"/>
        <w:rPr>
          <w:rFonts w:ascii="Arial" w:hAnsi="Arial" w:cs="Arial"/>
          <w:b/>
          <w:i/>
          <w:color w:val="0000FF"/>
        </w:rPr>
      </w:pPr>
      <w:r w:rsidRPr="00094AE8">
        <w:rPr>
          <w:rFonts w:ascii="Arial" w:hAnsi="Arial" w:cs="Arial"/>
          <w:b/>
          <w:i/>
          <w:color w:val="0000FF"/>
        </w:rPr>
        <w:t xml:space="preserve"> [Note to Preparer: If a GASB listed here does not impact your </w:t>
      </w:r>
      <w:r>
        <w:rPr>
          <w:rFonts w:ascii="Arial" w:hAnsi="Arial" w:cs="Arial"/>
          <w:b/>
          <w:i/>
          <w:color w:val="0000FF"/>
        </w:rPr>
        <w:t>College</w:t>
      </w:r>
      <w:r w:rsidRPr="00094AE8">
        <w:rPr>
          <w:rFonts w:ascii="Arial" w:hAnsi="Arial" w:cs="Arial"/>
          <w:b/>
          <w:i/>
          <w:color w:val="0000FF"/>
        </w:rPr>
        <w:t>, remove the GASB.</w:t>
      </w:r>
      <w:r>
        <w:rPr>
          <w:rFonts w:ascii="Arial" w:hAnsi="Arial" w:cs="Arial"/>
          <w:b/>
          <w:i/>
          <w:color w:val="0000FF"/>
        </w:rPr>
        <w:t xml:space="preserve"> </w:t>
      </w:r>
      <w:r w:rsidRPr="00094AE8">
        <w:rPr>
          <w:rFonts w:ascii="Arial" w:hAnsi="Arial" w:cs="Arial"/>
          <w:b/>
          <w:i/>
          <w:color w:val="0000FF"/>
        </w:rPr>
        <w:t xml:space="preserve">If </w:t>
      </w:r>
      <w:r w:rsidRPr="00F34E2E">
        <w:rPr>
          <w:rFonts w:ascii="Arial" w:hAnsi="Arial" w:cs="Arial"/>
          <w:b/>
          <w:i/>
          <w:color w:val="0000FF"/>
        </w:rPr>
        <w:t>no GASBs listed impact your College, remove the disclosure entirely.]</w:t>
      </w:r>
    </w:p>
    <w:p w14:paraId="58AC2826"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22</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Net Position Restatement(s)</w:t>
      </w:r>
    </w:p>
    <w:p w14:paraId="5F8D1285" w14:textId="77777777" w:rsidR="005558B6" w:rsidRPr="005A31CF" w:rsidRDefault="005558B6" w:rsidP="00A66832">
      <w:pPr>
        <w:spacing w:after="240" w:line="240" w:lineRule="auto"/>
        <w:jc w:val="both"/>
        <w:rPr>
          <w:rFonts w:ascii="Arial" w:eastAsia="Times New Roman" w:hAnsi="Arial" w:cs="Arial"/>
          <w:b/>
          <w:bCs/>
          <w:i/>
          <w:iCs/>
        </w:rPr>
      </w:pPr>
      <w:r>
        <w:rPr>
          <w:rFonts w:ascii="Arial" w:eastAsia="Times New Roman" w:hAnsi="Arial" w:cs="Arial"/>
        </w:rPr>
        <w:t>As of July 1, 2021</w:t>
      </w:r>
      <w:r w:rsidRPr="005A31CF">
        <w:rPr>
          <w:rFonts w:ascii="Arial" w:eastAsia="Times New Roman" w:hAnsi="Arial" w:cs="Arial"/>
        </w:rPr>
        <w:t xml:space="preserve">, net position as previously reported was restated as follows: </w:t>
      </w:r>
      <w:r w:rsidRPr="005A31CF">
        <w:rPr>
          <w:rFonts w:ascii="Arial" w:eastAsia="Times New Roman" w:hAnsi="Arial" w:cs="Arial"/>
          <w:b/>
          <w:bCs/>
          <w:i/>
          <w:iCs/>
          <w:color w:val="0000FF"/>
        </w:rPr>
        <w:t xml:space="preserve">[If reason for restatement is not obvious as presented below, give brief description here. See GASB 62 paragraphs 62 and 89 for additional guidance. Modify as necessary. </w:t>
      </w:r>
    </w:p>
    <w:bookmarkStart w:id="420" w:name="_MON_1119092012"/>
    <w:bookmarkStart w:id="421" w:name="_MON_1121239096"/>
    <w:bookmarkStart w:id="422" w:name="_MON_1359289174"/>
    <w:bookmarkStart w:id="423" w:name="_MON_1211811862"/>
    <w:bookmarkStart w:id="424" w:name="_MON_1220949802"/>
    <w:bookmarkStart w:id="425" w:name="_MON_1243077354"/>
    <w:bookmarkStart w:id="426" w:name="_MON_1244291855"/>
    <w:bookmarkStart w:id="427" w:name="_MON_1264506365"/>
    <w:bookmarkStart w:id="428" w:name="_MON_1300788231"/>
    <w:bookmarkStart w:id="429" w:name="_MON_1188278912"/>
    <w:bookmarkStart w:id="430" w:name="_MON_1401869933"/>
    <w:bookmarkStart w:id="431" w:name="_MON_1402726871"/>
    <w:bookmarkStart w:id="432" w:name="_MON_1118970655"/>
    <w:bookmarkStart w:id="433" w:name="_Hlk104557296"/>
    <w:bookmarkEnd w:id="420"/>
    <w:bookmarkEnd w:id="421"/>
    <w:bookmarkEnd w:id="422"/>
    <w:bookmarkEnd w:id="423"/>
    <w:bookmarkEnd w:id="424"/>
    <w:bookmarkEnd w:id="425"/>
    <w:bookmarkEnd w:id="426"/>
    <w:bookmarkEnd w:id="427"/>
    <w:bookmarkEnd w:id="428"/>
    <w:bookmarkEnd w:id="429"/>
    <w:bookmarkEnd w:id="430"/>
    <w:bookmarkEnd w:id="431"/>
    <w:bookmarkEnd w:id="432"/>
    <w:bookmarkStart w:id="434" w:name="_MON_1119002125"/>
    <w:bookmarkEnd w:id="434"/>
    <w:p w14:paraId="420C548E" w14:textId="5717E3F7" w:rsidR="005558B6" w:rsidRDefault="00627539" w:rsidP="00A66832">
      <w:pPr>
        <w:spacing w:after="240" w:line="240" w:lineRule="auto"/>
        <w:jc w:val="center"/>
      </w:pPr>
      <w:r w:rsidRPr="00002CBD">
        <w:object w:dxaOrig="7772" w:dyaOrig="2027" w14:anchorId="45ED8AA7">
          <v:shape id="_x0000_i1062" type="#_x0000_t75" style="width:389.25pt;height:108pt" o:ole="">
            <v:imagedata r:id="rId90" o:title=""/>
          </v:shape>
          <o:OLEObject Type="Embed" ProgID="Excel.Sheet.12" ShapeID="_x0000_i1062" DrawAspect="Content" ObjectID="_1721553207" r:id="rId91"/>
        </w:object>
      </w:r>
      <w:bookmarkEnd w:id="433"/>
    </w:p>
    <w:p w14:paraId="47392639" w14:textId="77777777" w:rsidR="00B45C75" w:rsidRPr="00B45C75" w:rsidRDefault="00B45C75" w:rsidP="00A66832">
      <w:pPr>
        <w:spacing w:after="240" w:line="240" w:lineRule="auto"/>
        <w:jc w:val="center"/>
        <w:rPr>
          <w:rFonts w:ascii="Arial" w:eastAsia="Times New Roman" w:hAnsi="Arial" w:cs="Arial"/>
          <w:b/>
          <w:bCs/>
          <w:i/>
          <w:iCs/>
          <w:color w:val="0000FF"/>
          <w:szCs w:val="20"/>
          <w:highlight w:val="yellow"/>
        </w:rPr>
      </w:pPr>
      <w:r w:rsidRPr="00B45C75">
        <w:rPr>
          <w:rFonts w:ascii="Arial" w:eastAsia="Times New Roman" w:hAnsi="Arial" w:cs="Arial"/>
          <w:b/>
          <w:bCs/>
          <w:i/>
          <w:iCs/>
          <w:color w:val="0000FF"/>
          <w:szCs w:val="20"/>
          <w:highlight w:val="yellow"/>
        </w:rPr>
        <w:t xml:space="preserve">Or </w:t>
      </w:r>
    </w:p>
    <w:p w14:paraId="767C34F1" w14:textId="493C3FCA" w:rsidR="00B45C75" w:rsidRPr="004842E7" w:rsidRDefault="00B45C75" w:rsidP="00A66832">
      <w:pPr>
        <w:spacing w:after="240" w:line="240" w:lineRule="auto"/>
        <w:jc w:val="both"/>
        <w:rPr>
          <w:rFonts w:ascii="Arial" w:eastAsia="Times New Roman" w:hAnsi="Arial" w:cs="Arial"/>
          <w:szCs w:val="20"/>
        </w:rPr>
      </w:pPr>
      <w:r w:rsidRPr="00B45C75">
        <w:rPr>
          <w:rFonts w:ascii="Arial" w:eastAsia="Times New Roman" w:hAnsi="Arial" w:cs="Arial"/>
          <w:szCs w:val="20"/>
          <w:highlight w:val="yellow"/>
        </w:rPr>
        <w:t xml:space="preserve">As of July 1, 2021, the </w:t>
      </w:r>
      <w:r w:rsidR="006B0CE1">
        <w:rPr>
          <w:rFonts w:ascii="Arial" w:eastAsia="Times New Roman" w:hAnsi="Arial" w:cs="Arial"/>
          <w:szCs w:val="20"/>
          <w:highlight w:val="yellow"/>
        </w:rPr>
        <w:t>College</w:t>
      </w:r>
      <w:r w:rsidRPr="00B45C75">
        <w:rPr>
          <w:rFonts w:ascii="Arial" w:eastAsia="Times New Roman" w:hAnsi="Arial" w:cs="Arial"/>
          <w:szCs w:val="20"/>
          <w:highlight w:val="yellow"/>
        </w:rPr>
        <w:t xml:space="preserve"> implemented GASB Statement No. 87, </w:t>
      </w:r>
      <w:r w:rsidRPr="00B45C75">
        <w:rPr>
          <w:rFonts w:ascii="Arial" w:eastAsia="Times New Roman" w:hAnsi="Arial" w:cs="Arial"/>
          <w:i/>
          <w:szCs w:val="20"/>
          <w:highlight w:val="yellow"/>
        </w:rPr>
        <w:t>Leases</w:t>
      </w:r>
      <w:r w:rsidRPr="00B45C75">
        <w:rPr>
          <w:rFonts w:ascii="Arial" w:eastAsia="Times New Roman" w:hAnsi="Arial" w:cs="Arial"/>
          <w:szCs w:val="20"/>
          <w:highlight w:val="yellow"/>
        </w:rPr>
        <w:t xml:space="preserve">. Net position was not restated due to the implementation; however, assets and liabilities were restated as a result of the implementation. See Note </w:t>
      </w:r>
      <w:r w:rsidRPr="00B45C75">
        <w:rPr>
          <w:rFonts w:ascii="Arial" w:eastAsia="Times New Roman" w:hAnsi="Arial" w:cs="Arial"/>
          <w:b/>
          <w:bCs/>
          <w:iCs/>
          <w:color w:val="0000FF"/>
          <w:szCs w:val="20"/>
          <w:highlight w:val="yellow"/>
        </w:rPr>
        <w:t>X</w:t>
      </w:r>
      <w:r w:rsidRPr="00B45C75">
        <w:rPr>
          <w:rFonts w:ascii="Arial" w:eastAsia="Times New Roman" w:hAnsi="Arial" w:cs="Arial"/>
          <w:szCs w:val="20"/>
          <w:highlight w:val="yellow"/>
        </w:rPr>
        <w:t xml:space="preserve"> and Note </w:t>
      </w:r>
      <w:r w:rsidRPr="00B45C75">
        <w:rPr>
          <w:rFonts w:ascii="Arial" w:eastAsia="Times New Roman" w:hAnsi="Arial" w:cs="Arial"/>
          <w:b/>
          <w:bCs/>
          <w:iCs/>
          <w:color w:val="0000FF"/>
          <w:szCs w:val="20"/>
          <w:highlight w:val="yellow"/>
        </w:rPr>
        <w:t>X</w:t>
      </w:r>
      <w:r w:rsidRPr="00B45C75">
        <w:rPr>
          <w:rFonts w:ascii="Arial" w:eastAsia="Times New Roman" w:hAnsi="Arial" w:cs="Arial"/>
          <w:szCs w:val="20"/>
          <w:highlight w:val="yellow"/>
        </w:rPr>
        <w:t xml:space="preserve"> for details on the restated balances relating capital assets and lease liability, respectively. </w:t>
      </w:r>
      <w:r w:rsidRPr="00B45C75">
        <w:rPr>
          <w:rFonts w:ascii="Arial" w:eastAsia="Times New Roman" w:hAnsi="Arial" w:cs="Arial"/>
          <w:b/>
          <w:bCs/>
          <w:i/>
          <w:iCs/>
          <w:color w:val="0000FF"/>
          <w:szCs w:val="20"/>
          <w:highlight w:val="yellow"/>
        </w:rPr>
        <w:t>[Reference the capital asset and long-term liabilities disclosures]</w:t>
      </w:r>
    </w:p>
    <w:p w14:paraId="6E149610" w14:textId="77777777" w:rsidR="005558B6" w:rsidRPr="00A66832" w:rsidRDefault="005558B6" w:rsidP="00817308">
      <w:pPr>
        <w:keepNext/>
        <w:tabs>
          <w:tab w:val="left" w:pos="900"/>
          <w:tab w:val="left" w:pos="1080"/>
        </w:tabs>
        <w:spacing w:before="480" w:after="240" w:line="240" w:lineRule="auto"/>
        <w:outlineLvl w:val="0"/>
        <w:rPr>
          <w:rFonts w:ascii="Arial Bold" w:eastAsia="Times New Roman" w:hAnsi="Arial Bold" w:cs="Times New Roman"/>
          <w:b/>
          <w:smallCaps/>
          <w:kern w:val="28"/>
          <w:szCs w:val="20"/>
        </w:rPr>
      </w:pPr>
      <w:r w:rsidRPr="00A66832">
        <w:rPr>
          <w:rFonts w:ascii="Arial Bold" w:eastAsia="Times New Roman" w:hAnsi="Arial Bold" w:cs="Times New Roman"/>
          <w:b/>
          <w:smallCaps/>
          <w:kern w:val="28"/>
          <w:szCs w:val="20"/>
        </w:rPr>
        <w:t>Note 23</w:t>
      </w:r>
      <w:r w:rsidRPr="00A66832">
        <w:rPr>
          <w:rFonts w:ascii="Arial Bold" w:eastAsia="Times New Roman" w:hAnsi="Arial Bold" w:cs="Times New Roman"/>
          <w:b/>
          <w:smallCaps/>
          <w:kern w:val="28"/>
          <w:szCs w:val="20"/>
        </w:rPr>
        <w:tab/>
        <w:t>-</w:t>
      </w:r>
      <w:r w:rsidRPr="00A66832">
        <w:rPr>
          <w:rFonts w:ascii="Arial Bold" w:eastAsia="Times New Roman" w:hAnsi="Arial Bold" w:cs="Times New Roman"/>
          <w:b/>
          <w:smallCaps/>
          <w:kern w:val="28"/>
          <w:szCs w:val="20"/>
        </w:rPr>
        <w:tab/>
        <w:t>Subsequent Event(s)</w:t>
      </w:r>
    </w:p>
    <w:p w14:paraId="40267B7C" w14:textId="74A9C571" w:rsidR="0041233C" w:rsidRPr="0041233C" w:rsidRDefault="005558B6" w:rsidP="00A66832">
      <w:pPr>
        <w:spacing w:after="0" w:line="240" w:lineRule="auto"/>
        <w:jc w:val="both"/>
        <w:rPr>
          <w:rFonts w:ascii="Univers (W1)" w:eastAsia="Times New Roman" w:hAnsi="Univers (W1)" w:cs="Times New Roman"/>
          <w:sz w:val="20"/>
          <w:szCs w:val="20"/>
        </w:rPr>
      </w:pPr>
      <w:r w:rsidRPr="005A31CF">
        <w:rPr>
          <w:rFonts w:ascii="Arial" w:eastAsia="Times New Roman" w:hAnsi="Arial" w:cs="Arial"/>
          <w:b/>
          <w:i/>
          <w:color w:val="0000FF"/>
        </w:rPr>
        <w:t>[Describe significant events subsequent to the Statement of Net Position date through the report date.</w:t>
      </w:r>
    </w:p>
    <w:sectPr w:rsidR="0041233C" w:rsidRPr="0041233C" w:rsidSect="008A5317">
      <w:headerReference w:type="even" r:id="rId92"/>
      <w:headerReference w:type="default" r:id="rId93"/>
      <w:footerReference w:type="even" r:id="rId94"/>
      <w:footerReference w:type="default" r:id="rId95"/>
      <w:headerReference w:type="first" r:id="rId96"/>
      <w:footerReference w:type="first" r:id="rId97"/>
      <w:type w:val="continuous"/>
      <w:pgSz w:w="12240" w:h="15840" w:code="1"/>
      <w:pgMar w:top="1440" w:right="1584" w:bottom="1440" w:left="1584"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3FC6" w14:textId="77777777" w:rsidR="002F15DE" w:rsidRDefault="002F15DE" w:rsidP="00760778">
      <w:pPr>
        <w:spacing w:after="0" w:line="240" w:lineRule="auto"/>
      </w:pPr>
      <w:r>
        <w:separator/>
      </w:r>
    </w:p>
  </w:endnote>
  <w:endnote w:type="continuationSeparator" w:id="0">
    <w:p w14:paraId="7B65A0BB" w14:textId="77777777" w:rsidR="002F15DE" w:rsidRDefault="002F15DE" w:rsidP="0076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w:altName w:val="Bookman Old Style"/>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737B" w14:textId="77777777" w:rsidR="0026284D" w:rsidRDefault="0026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F0A1" w14:textId="77777777" w:rsidR="0026284D" w:rsidRDefault="0026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B9EE" w14:textId="3E6CF3AD" w:rsidR="009C7ABA" w:rsidRDefault="009C7ABA" w:rsidP="009C7ABA">
    <w:pPr>
      <w:pStyle w:val="BodyText2"/>
      <w:pBdr>
        <w:top w:val="single" w:sz="6" w:space="4" w:color="auto"/>
      </w:pBdr>
      <w:spacing w:after="240"/>
      <w:ind w:left="0"/>
      <w:rPr>
        <w:rFonts w:ascii="Arial Narrow" w:hAnsi="Arial Narrow" w:cs="Arial"/>
      </w:rPr>
    </w:pPr>
    <w:r w:rsidRPr="0044373B">
      <w:rPr>
        <w:rFonts w:ascii="Arial Narrow" w:hAnsi="Arial Narrow" w:cs="Arial"/>
        <w:highlight w:val="yellow"/>
      </w:rPr>
      <w:t>This audit</w:t>
    </w:r>
    <w:r w:rsidRPr="0044373B">
      <w:rPr>
        <w:rFonts w:ascii="Arial Narrow" w:hAnsi="Arial Narrow" w:cs="Arial"/>
        <w:color w:val="0070C0"/>
        <w:highlight w:val="yellow"/>
      </w:rPr>
      <w:t xml:space="preserve"> </w:t>
    </w:r>
    <w:r w:rsidRPr="0044373B">
      <w:rPr>
        <w:rFonts w:ascii="Arial Narrow" w:hAnsi="Arial Narrow" w:cs="Arial"/>
        <w:highlight w:val="yellow"/>
      </w:rPr>
      <w:t xml:space="preserve">required ___ hours at an approximate cost of $_____. </w:t>
    </w:r>
  </w:p>
  <w:p w14:paraId="40267C24" w14:textId="77777777" w:rsidR="002F4326" w:rsidRDefault="002F4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AACE8" w14:textId="77777777" w:rsidR="002F15DE" w:rsidRDefault="002F15DE" w:rsidP="00760778">
      <w:pPr>
        <w:spacing w:after="0" w:line="240" w:lineRule="auto"/>
      </w:pPr>
      <w:r>
        <w:separator/>
      </w:r>
    </w:p>
  </w:footnote>
  <w:footnote w:type="continuationSeparator" w:id="0">
    <w:p w14:paraId="348D1EAD" w14:textId="77777777" w:rsidR="002F15DE" w:rsidRDefault="002F15DE" w:rsidP="0076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7C1D" w14:textId="67D825F6" w:rsidR="002F4326" w:rsidRPr="002E1DCC" w:rsidRDefault="008A5317" w:rsidP="002F4326">
    <w:pPr>
      <w:pStyle w:val="Header"/>
      <w:ind w:left="-1584"/>
    </w:pPr>
    <w:r w:rsidRPr="008A5317">
      <w:rPr>
        <w:rFonts w:ascii="Univers (W1)" w:eastAsia="Times New Roman" w:hAnsi="Univers (W1)" w:cs="Times New Roman"/>
        <w:noProof/>
        <w:sz w:val="20"/>
        <w:szCs w:val="20"/>
      </w:rPr>
      <mc:AlternateContent>
        <mc:Choice Requires="wps">
          <w:drawing>
            <wp:anchor distT="0" distB="0" distL="114300" distR="114300" simplePos="0" relativeHeight="251661312" behindDoc="0" locked="0" layoutInCell="1" allowOverlap="1" wp14:anchorId="6A354893" wp14:editId="56E5E22C">
              <wp:simplePos x="0" y="0"/>
              <wp:positionH relativeFrom="page">
                <wp:posOffset>0</wp:posOffset>
              </wp:positionH>
              <wp:positionV relativeFrom="page">
                <wp:posOffset>365760</wp:posOffset>
              </wp:positionV>
              <wp:extent cx="7863840" cy="338328"/>
              <wp:effectExtent l="0" t="0" r="22860" b="24130"/>
              <wp:wrapNone/>
              <wp:docPr id="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3840" cy="338328"/>
                      </a:xfrm>
                      <a:prstGeom prst="rect">
                        <a:avLst/>
                      </a:prstGeom>
                      <a:solidFill>
                        <a:srgbClr val="0F243E"/>
                      </a:solidFill>
                      <a:ln w="9525">
                        <a:solidFill>
                          <a:srgbClr val="000000"/>
                        </a:solidFill>
                        <a:miter lim="800000"/>
                        <a:headEnd/>
                        <a:tailEnd/>
                      </a:ln>
                    </wps:spPr>
                    <wps:txbx>
                      <w:txbxContent>
                        <w:p w14:paraId="67550182" w14:textId="77777777" w:rsidR="008A5317" w:rsidRPr="00A0042E" w:rsidRDefault="008A5317" w:rsidP="008A5317">
                          <w:pPr>
                            <w:spacing w:before="60" w:after="0"/>
                            <w:ind w:left="360" w:right="547"/>
                            <w:rPr>
                              <w:rFonts w:ascii="Arial" w:hAnsi="Arial" w:cs="Arial"/>
                              <w:b/>
                              <w:smallCaps/>
                              <w:sz w:val="24"/>
                              <w:szCs w:val="24"/>
                            </w:rPr>
                          </w:pPr>
                          <w:r w:rsidRPr="00A0042E">
                            <w:rPr>
                              <w:rFonts w:ascii="Arial" w:hAnsi="Arial" w:cs="Arial"/>
                              <w:b/>
                              <w:smallCaps/>
                              <w:sz w:val="24"/>
                              <w:szCs w:val="24"/>
                            </w:rPr>
                            <w:t>Notes to the 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54893" id="_x0000_t202" coordsize="21600,21600" o:spt="202" path="m,l,21600r21600,l21600,xe">
              <v:stroke joinstyle="miter"/>
              <v:path gradientshapeok="t" o:connecttype="rect"/>
            </v:shapetype>
            <v:shape id="Text Box 121" o:spid="_x0000_s1026" type="#_x0000_t202" style="position:absolute;left:0;text-align:left;margin-left:0;margin-top:28.8pt;width:619.2pt;height: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" fillcolor="#0f243e">
              <v:textbox>
                <w:txbxContent>
                  <w:p w14:paraId="67550182" w14:textId="77777777" w:rsidR="008A5317" w:rsidRPr="00A0042E" w:rsidRDefault="008A5317" w:rsidP="008A5317">
                    <w:pPr>
                      <w:spacing w:before="60" w:after="0"/>
                      <w:ind w:left="360" w:right="547"/>
                      <w:rPr>
                        <w:rFonts w:ascii="Arial" w:hAnsi="Arial" w:cs="Arial"/>
                        <w:b/>
                        <w:smallCaps/>
                        <w:sz w:val="24"/>
                        <w:szCs w:val="24"/>
                      </w:rPr>
                    </w:pPr>
                    <w:r w:rsidRPr="00A0042E">
                      <w:rPr>
                        <w:rFonts w:ascii="Arial" w:hAnsi="Arial" w:cs="Arial"/>
                        <w:b/>
                        <w:smallCaps/>
                        <w:sz w:val="24"/>
                        <w:szCs w:val="24"/>
                      </w:rPr>
                      <w:t>Notes to the Financial Statements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7C1E" w14:textId="0B758A34" w:rsidR="002F4326" w:rsidRPr="00061A39" w:rsidRDefault="008A5317" w:rsidP="002F4326">
    <w:pPr>
      <w:pStyle w:val="Header"/>
    </w:pPr>
    <w:r w:rsidRPr="008A5317">
      <w:rPr>
        <w:rFonts w:ascii="Univers (W1)" w:eastAsia="Times New Roman" w:hAnsi="Univers (W1)" w:cs="Times New Roman"/>
        <w:noProof/>
        <w:sz w:val="20"/>
        <w:szCs w:val="20"/>
      </w:rPr>
      <mc:AlternateContent>
        <mc:Choice Requires="wps">
          <w:drawing>
            <wp:anchor distT="0" distB="0" distL="114300" distR="114300" simplePos="0" relativeHeight="251659264" behindDoc="0" locked="0" layoutInCell="1" allowOverlap="1" wp14:anchorId="3743B413" wp14:editId="08C2D7F1">
              <wp:simplePos x="0" y="0"/>
              <wp:positionH relativeFrom="page">
                <wp:posOffset>0</wp:posOffset>
              </wp:positionH>
              <wp:positionV relativeFrom="page">
                <wp:posOffset>367030</wp:posOffset>
              </wp:positionV>
              <wp:extent cx="7863840" cy="338328"/>
              <wp:effectExtent l="0" t="0" r="22860" b="24130"/>
              <wp:wrapNone/>
              <wp:docPr id="5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3840" cy="338328"/>
                      </a:xfrm>
                      <a:prstGeom prst="rect">
                        <a:avLst/>
                      </a:prstGeom>
                      <a:solidFill>
                        <a:srgbClr val="0F243E"/>
                      </a:solidFill>
                      <a:ln w="9525">
                        <a:solidFill>
                          <a:srgbClr val="000000"/>
                        </a:solidFill>
                        <a:miter lim="800000"/>
                        <a:headEnd/>
                        <a:tailEnd/>
                      </a:ln>
                    </wps:spPr>
                    <wps:txbx>
                      <w:txbxContent>
                        <w:p w14:paraId="549B3B49" w14:textId="77777777" w:rsidR="008A5317" w:rsidRPr="00A0042E" w:rsidRDefault="008A5317" w:rsidP="008A5317">
                          <w:pPr>
                            <w:spacing w:before="60" w:after="0"/>
                            <w:ind w:left="360" w:right="547"/>
                            <w:jc w:val="right"/>
                            <w:rPr>
                              <w:rFonts w:ascii="Arial" w:hAnsi="Arial" w:cs="Arial"/>
                              <w:b/>
                              <w:smallCaps/>
                              <w:sz w:val="24"/>
                              <w:szCs w:val="24"/>
                            </w:rPr>
                          </w:pPr>
                          <w:r w:rsidRPr="00A0042E">
                            <w:rPr>
                              <w:rFonts w:ascii="Arial" w:hAnsi="Arial" w:cs="Arial"/>
                              <w:b/>
                              <w:smallCaps/>
                              <w:sz w:val="24"/>
                              <w:szCs w:val="24"/>
                            </w:rPr>
                            <w:t>Notes to the 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B413" id="_x0000_t202" coordsize="21600,21600" o:spt="202" path="m,l,21600r21600,l21600,xe">
              <v:stroke joinstyle="miter"/>
              <v:path gradientshapeok="t" o:connecttype="rect"/>
            </v:shapetype>
            <v:shape id="_x0000_s1027" type="#_x0000_t202" style="position:absolute;margin-left:0;margin-top:28.9pt;width:619.2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" fillcolor="#0f243e">
              <v:textbox>
                <w:txbxContent>
                  <w:p w14:paraId="549B3B49" w14:textId="77777777" w:rsidR="008A5317" w:rsidRPr="00A0042E" w:rsidRDefault="008A5317" w:rsidP="008A5317">
                    <w:pPr>
                      <w:spacing w:before="60" w:after="0"/>
                      <w:ind w:left="360" w:right="547"/>
                      <w:jc w:val="right"/>
                      <w:rPr>
                        <w:rFonts w:ascii="Arial" w:hAnsi="Arial" w:cs="Arial"/>
                        <w:b/>
                        <w:smallCaps/>
                        <w:sz w:val="24"/>
                        <w:szCs w:val="24"/>
                      </w:rPr>
                    </w:pPr>
                    <w:r w:rsidRPr="00A0042E">
                      <w:rPr>
                        <w:rFonts w:ascii="Arial" w:hAnsi="Arial" w:cs="Arial"/>
                        <w:b/>
                        <w:smallCaps/>
                        <w:sz w:val="24"/>
                        <w:szCs w:val="24"/>
                      </w:rPr>
                      <w:t>Notes to the Financial Statements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CD4CB" w14:textId="77777777" w:rsidR="0026284D" w:rsidRDefault="0026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36" w:hanging="433"/>
      </w:pPr>
      <w:rPr>
        <w:rFonts w:ascii="Arial" w:hAnsi="Arial" w:cs="Arial"/>
        <w:b w:val="0"/>
        <w:bCs w:val="0"/>
        <w:sz w:val="18"/>
        <w:szCs w:val="18"/>
      </w:rPr>
    </w:lvl>
    <w:lvl w:ilvl="1">
      <w:numFmt w:val="bullet"/>
      <w:lvlText w:val="•"/>
      <w:lvlJc w:val="left"/>
      <w:pPr>
        <w:ind w:left="1812" w:hanging="433"/>
      </w:pPr>
    </w:lvl>
    <w:lvl w:ilvl="2">
      <w:numFmt w:val="bullet"/>
      <w:lvlText w:val="•"/>
      <w:lvlJc w:val="left"/>
      <w:pPr>
        <w:ind w:left="2789" w:hanging="433"/>
      </w:pPr>
    </w:lvl>
    <w:lvl w:ilvl="3">
      <w:numFmt w:val="bullet"/>
      <w:lvlText w:val="•"/>
      <w:lvlJc w:val="left"/>
      <w:pPr>
        <w:ind w:left="3765" w:hanging="433"/>
      </w:pPr>
    </w:lvl>
    <w:lvl w:ilvl="4">
      <w:numFmt w:val="bullet"/>
      <w:lvlText w:val="•"/>
      <w:lvlJc w:val="left"/>
      <w:pPr>
        <w:ind w:left="4741" w:hanging="433"/>
      </w:pPr>
    </w:lvl>
    <w:lvl w:ilvl="5">
      <w:numFmt w:val="bullet"/>
      <w:lvlText w:val="•"/>
      <w:lvlJc w:val="left"/>
      <w:pPr>
        <w:ind w:left="5718" w:hanging="433"/>
      </w:pPr>
    </w:lvl>
    <w:lvl w:ilvl="6">
      <w:numFmt w:val="bullet"/>
      <w:lvlText w:val="•"/>
      <w:lvlJc w:val="left"/>
      <w:pPr>
        <w:ind w:left="6694" w:hanging="433"/>
      </w:pPr>
    </w:lvl>
    <w:lvl w:ilvl="7">
      <w:numFmt w:val="bullet"/>
      <w:lvlText w:val="•"/>
      <w:lvlJc w:val="left"/>
      <w:pPr>
        <w:ind w:left="7670" w:hanging="433"/>
      </w:pPr>
    </w:lvl>
    <w:lvl w:ilvl="8">
      <w:numFmt w:val="bullet"/>
      <w:lvlText w:val="•"/>
      <w:lvlJc w:val="left"/>
      <w:pPr>
        <w:ind w:left="8647" w:hanging="433"/>
      </w:pPr>
    </w:lvl>
  </w:abstractNum>
  <w:abstractNum w:abstractNumId="1" w15:restartNumberingAfterBreak="0">
    <w:nsid w:val="0C317138"/>
    <w:multiLevelType w:val="hybridMultilevel"/>
    <w:tmpl w:val="9BDC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2857"/>
    <w:multiLevelType w:val="hybridMultilevel"/>
    <w:tmpl w:val="32368B06"/>
    <w:lvl w:ilvl="0" w:tplc="EDF0BEA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C85647"/>
    <w:multiLevelType w:val="hybridMultilevel"/>
    <w:tmpl w:val="051A2B3E"/>
    <w:lvl w:ilvl="0" w:tplc="0B4E10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650C35"/>
    <w:multiLevelType w:val="hybridMultilevel"/>
    <w:tmpl w:val="1A1AA272"/>
    <w:lvl w:ilvl="0" w:tplc="D5443E0E">
      <w:start w:val="1"/>
      <w:numFmt w:val="decimal"/>
      <w:lvlText w:val="%1."/>
      <w:lvlJc w:val="left"/>
      <w:pPr>
        <w:ind w:left="2088" w:hanging="360"/>
      </w:pPr>
      <w:rPr>
        <w:rFonts w:hint="default"/>
        <w:b/>
        <w:i/>
        <w:color w:val="0000FF"/>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 w15:restartNumberingAfterBreak="0">
    <w:nsid w:val="13224250"/>
    <w:multiLevelType w:val="hybridMultilevel"/>
    <w:tmpl w:val="C0A05968"/>
    <w:lvl w:ilvl="0" w:tplc="92D44B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D13D21"/>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9D59B0"/>
    <w:multiLevelType w:val="hybridMultilevel"/>
    <w:tmpl w:val="1A2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76D"/>
    <w:multiLevelType w:val="hybridMultilevel"/>
    <w:tmpl w:val="F88EE70A"/>
    <w:lvl w:ilvl="0" w:tplc="F6BE5AF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7A372F"/>
    <w:multiLevelType w:val="hybridMultilevel"/>
    <w:tmpl w:val="7054C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53ABA"/>
    <w:multiLevelType w:val="hybridMultilevel"/>
    <w:tmpl w:val="550AF6F4"/>
    <w:lvl w:ilvl="0" w:tplc="A30CA5D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AA322E"/>
    <w:multiLevelType w:val="hybridMultilevel"/>
    <w:tmpl w:val="BAE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785F"/>
    <w:multiLevelType w:val="hybridMultilevel"/>
    <w:tmpl w:val="F8F0D112"/>
    <w:lvl w:ilvl="0" w:tplc="6B308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FE5151"/>
    <w:multiLevelType w:val="hybridMultilevel"/>
    <w:tmpl w:val="E28CA1BC"/>
    <w:lvl w:ilvl="0" w:tplc="82B275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05447"/>
    <w:multiLevelType w:val="hybridMultilevel"/>
    <w:tmpl w:val="DB48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87D34"/>
    <w:multiLevelType w:val="hybridMultilevel"/>
    <w:tmpl w:val="E3921838"/>
    <w:lvl w:ilvl="0" w:tplc="D0280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11492F"/>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5D4F7E"/>
    <w:multiLevelType w:val="hybridMultilevel"/>
    <w:tmpl w:val="FF225188"/>
    <w:lvl w:ilvl="0" w:tplc="621E7C62">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5BA5D98"/>
    <w:multiLevelType w:val="hybridMultilevel"/>
    <w:tmpl w:val="F63612D8"/>
    <w:lvl w:ilvl="0" w:tplc="FCCA5D2E">
      <w:start w:val="1"/>
      <w:numFmt w:val="upperLetter"/>
      <w:lvlText w:val="%1."/>
      <w:lvlJc w:val="left"/>
      <w:pPr>
        <w:ind w:left="1800" w:hanging="360"/>
      </w:pPr>
      <w:rPr>
        <w:rFonts w:ascii="Arial" w:hAnsi="Arial" w:cs="Arial"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3D6A41"/>
    <w:multiLevelType w:val="hybridMultilevel"/>
    <w:tmpl w:val="97F897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327D31"/>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DDD6D7B"/>
    <w:multiLevelType w:val="hybridMultilevel"/>
    <w:tmpl w:val="DCA43332"/>
    <w:lvl w:ilvl="0" w:tplc="4E6E223E">
      <w:start w:val="1"/>
      <w:numFmt w:val="decimal"/>
      <w:lvlText w:val="%1."/>
      <w:lvlJc w:val="left"/>
      <w:pPr>
        <w:ind w:left="2610" w:hanging="360"/>
      </w:pPr>
      <w:rPr>
        <w:rFonts w:hint="default"/>
        <w:b/>
        <w:sz w:val="22"/>
        <w:szCs w:val="22"/>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15:restartNumberingAfterBreak="0">
    <w:nsid w:val="4FB50CD4"/>
    <w:multiLevelType w:val="hybridMultilevel"/>
    <w:tmpl w:val="7FE4BA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503E1100"/>
    <w:multiLevelType w:val="singleLevel"/>
    <w:tmpl w:val="C6265324"/>
    <w:lvl w:ilvl="0">
      <w:start w:val="3"/>
      <w:numFmt w:val="upperLetter"/>
      <w:lvlText w:val="%1."/>
      <w:lvlJc w:val="left"/>
      <w:pPr>
        <w:tabs>
          <w:tab w:val="num" w:pos="1920"/>
        </w:tabs>
        <w:ind w:left="1920" w:hanging="480"/>
      </w:pPr>
      <w:rPr>
        <w:rFonts w:hint="default"/>
        <w:b/>
      </w:rPr>
    </w:lvl>
  </w:abstractNum>
  <w:abstractNum w:abstractNumId="24" w15:restartNumberingAfterBreak="0">
    <w:nsid w:val="5E175BA4"/>
    <w:multiLevelType w:val="hybridMultilevel"/>
    <w:tmpl w:val="40BE4D0E"/>
    <w:lvl w:ilvl="0" w:tplc="A308E1A0">
      <w:start w:val="1"/>
      <w:numFmt w:val="upperRoman"/>
      <w:lvlText w:val="%1."/>
      <w:lvlJc w:val="left"/>
      <w:pPr>
        <w:ind w:left="2405" w:hanging="720"/>
      </w:pPr>
      <w:rPr>
        <w:rFonts w:hint="default"/>
        <w:b/>
      </w:rPr>
    </w:lvl>
    <w:lvl w:ilvl="1" w:tplc="04090019" w:tentative="1">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25" w15:restartNumberingAfterBreak="0">
    <w:nsid w:val="61DE47DB"/>
    <w:multiLevelType w:val="hybridMultilevel"/>
    <w:tmpl w:val="8266FF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3382508"/>
    <w:multiLevelType w:val="hybridMultilevel"/>
    <w:tmpl w:val="D6787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104B7"/>
    <w:multiLevelType w:val="hybridMultilevel"/>
    <w:tmpl w:val="7C043F4E"/>
    <w:lvl w:ilvl="0" w:tplc="0E866A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4183E64"/>
    <w:multiLevelType w:val="hybridMultilevel"/>
    <w:tmpl w:val="C26E6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2187D"/>
    <w:multiLevelType w:val="hybridMultilevel"/>
    <w:tmpl w:val="0DFAAC58"/>
    <w:lvl w:ilvl="0" w:tplc="1864256E">
      <w:start w:val="1"/>
      <w:numFmt w:val="decimal"/>
      <w:lvlText w:val="%1."/>
      <w:lvlJc w:val="left"/>
      <w:pPr>
        <w:ind w:left="2179" w:hanging="360"/>
      </w:pPr>
      <w:rPr>
        <w:rFonts w:hint="default"/>
        <w:b/>
      </w:rPr>
    </w:lvl>
    <w:lvl w:ilvl="1" w:tplc="04090019" w:tentative="1">
      <w:start w:val="1"/>
      <w:numFmt w:val="lowerLetter"/>
      <w:lvlText w:val="%2."/>
      <w:lvlJc w:val="left"/>
      <w:pPr>
        <w:ind w:left="2899" w:hanging="360"/>
      </w:pPr>
    </w:lvl>
    <w:lvl w:ilvl="2" w:tplc="0409001B" w:tentative="1">
      <w:start w:val="1"/>
      <w:numFmt w:val="lowerRoman"/>
      <w:lvlText w:val="%3."/>
      <w:lvlJc w:val="right"/>
      <w:pPr>
        <w:ind w:left="3619" w:hanging="180"/>
      </w:pPr>
    </w:lvl>
    <w:lvl w:ilvl="3" w:tplc="0409000F" w:tentative="1">
      <w:start w:val="1"/>
      <w:numFmt w:val="decimal"/>
      <w:lvlText w:val="%4."/>
      <w:lvlJc w:val="left"/>
      <w:pPr>
        <w:ind w:left="4339" w:hanging="360"/>
      </w:pPr>
    </w:lvl>
    <w:lvl w:ilvl="4" w:tplc="04090019" w:tentative="1">
      <w:start w:val="1"/>
      <w:numFmt w:val="lowerLetter"/>
      <w:lvlText w:val="%5."/>
      <w:lvlJc w:val="left"/>
      <w:pPr>
        <w:ind w:left="5059" w:hanging="360"/>
      </w:pPr>
    </w:lvl>
    <w:lvl w:ilvl="5" w:tplc="0409001B" w:tentative="1">
      <w:start w:val="1"/>
      <w:numFmt w:val="lowerRoman"/>
      <w:lvlText w:val="%6."/>
      <w:lvlJc w:val="right"/>
      <w:pPr>
        <w:ind w:left="5779" w:hanging="180"/>
      </w:pPr>
    </w:lvl>
    <w:lvl w:ilvl="6" w:tplc="0409000F" w:tentative="1">
      <w:start w:val="1"/>
      <w:numFmt w:val="decimal"/>
      <w:lvlText w:val="%7."/>
      <w:lvlJc w:val="left"/>
      <w:pPr>
        <w:ind w:left="6499" w:hanging="360"/>
      </w:pPr>
    </w:lvl>
    <w:lvl w:ilvl="7" w:tplc="04090019" w:tentative="1">
      <w:start w:val="1"/>
      <w:numFmt w:val="lowerLetter"/>
      <w:lvlText w:val="%8."/>
      <w:lvlJc w:val="left"/>
      <w:pPr>
        <w:ind w:left="7219" w:hanging="360"/>
      </w:pPr>
    </w:lvl>
    <w:lvl w:ilvl="8" w:tplc="0409001B" w:tentative="1">
      <w:start w:val="1"/>
      <w:numFmt w:val="lowerRoman"/>
      <w:lvlText w:val="%9."/>
      <w:lvlJc w:val="right"/>
      <w:pPr>
        <w:ind w:left="7939" w:hanging="180"/>
      </w:pPr>
    </w:lvl>
  </w:abstractNum>
  <w:abstractNum w:abstractNumId="30" w15:restartNumberingAfterBreak="0">
    <w:nsid w:val="747E50DE"/>
    <w:multiLevelType w:val="hybridMultilevel"/>
    <w:tmpl w:val="C5981204"/>
    <w:lvl w:ilvl="0" w:tplc="B0D2DDE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7C87CA7"/>
    <w:multiLevelType w:val="hybridMultilevel"/>
    <w:tmpl w:val="9A94A894"/>
    <w:lvl w:ilvl="0" w:tplc="B91C1BB0">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B233340"/>
    <w:multiLevelType w:val="hybridMultilevel"/>
    <w:tmpl w:val="35FC869C"/>
    <w:lvl w:ilvl="0" w:tplc="D7B2721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DD1255"/>
    <w:multiLevelType w:val="hybridMultilevel"/>
    <w:tmpl w:val="DDFA4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D5552"/>
    <w:multiLevelType w:val="hybridMultilevel"/>
    <w:tmpl w:val="4356A6DA"/>
    <w:lvl w:ilvl="0" w:tplc="9E722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9"/>
  </w:num>
  <w:num w:numId="3">
    <w:abstractNumId w:val="14"/>
  </w:num>
  <w:num w:numId="4">
    <w:abstractNumId w:val="11"/>
  </w:num>
  <w:num w:numId="5">
    <w:abstractNumId w:val="33"/>
  </w:num>
  <w:num w:numId="6">
    <w:abstractNumId w:val="23"/>
  </w:num>
  <w:num w:numId="7">
    <w:abstractNumId w:val="32"/>
  </w:num>
  <w:num w:numId="8">
    <w:abstractNumId w:val="24"/>
  </w:num>
  <w:num w:numId="9">
    <w:abstractNumId w:val="0"/>
  </w:num>
  <w:num w:numId="10">
    <w:abstractNumId w:val="18"/>
  </w:num>
  <w:num w:numId="11">
    <w:abstractNumId w:val="26"/>
  </w:num>
  <w:num w:numId="12">
    <w:abstractNumId w:val="7"/>
  </w:num>
  <w:num w:numId="13">
    <w:abstractNumId w:val="25"/>
  </w:num>
  <w:num w:numId="14">
    <w:abstractNumId w:val="22"/>
  </w:num>
  <w:num w:numId="15">
    <w:abstractNumId w:val="10"/>
  </w:num>
  <w:num w:numId="16">
    <w:abstractNumId w:val="29"/>
  </w:num>
  <w:num w:numId="17">
    <w:abstractNumId w:val="17"/>
  </w:num>
  <w:num w:numId="18">
    <w:abstractNumId w:val="12"/>
  </w:num>
  <w:num w:numId="19">
    <w:abstractNumId w:val="4"/>
  </w:num>
  <w:num w:numId="20">
    <w:abstractNumId w:val="20"/>
  </w:num>
  <w:num w:numId="21">
    <w:abstractNumId w:val="16"/>
  </w:num>
  <w:num w:numId="22">
    <w:abstractNumId w:val="15"/>
  </w:num>
  <w:num w:numId="23">
    <w:abstractNumId w:val="27"/>
  </w:num>
  <w:num w:numId="24">
    <w:abstractNumId w:val="5"/>
  </w:num>
  <w:num w:numId="25">
    <w:abstractNumId w:val="21"/>
  </w:num>
  <w:num w:numId="26">
    <w:abstractNumId w:val="3"/>
  </w:num>
  <w:num w:numId="27">
    <w:abstractNumId w:val="34"/>
  </w:num>
  <w:num w:numId="28">
    <w:abstractNumId w:val="31"/>
  </w:num>
  <w:num w:numId="29">
    <w:abstractNumId w:val="30"/>
  </w:num>
  <w:num w:numId="30">
    <w:abstractNumId w:val="6"/>
  </w:num>
  <w:num w:numId="31">
    <w:abstractNumId w:val="13"/>
  </w:num>
  <w:num w:numId="32">
    <w:abstractNumId w:val="2"/>
  </w:num>
  <w:num w:numId="33">
    <w:abstractNumId w:val="8"/>
  </w:num>
  <w:num w:numId="34">
    <w:abstractNumId w:val="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78"/>
    <w:rsid w:val="00001936"/>
    <w:rsid w:val="000024FA"/>
    <w:rsid w:val="000029F9"/>
    <w:rsid w:val="00003FA6"/>
    <w:rsid w:val="00014196"/>
    <w:rsid w:val="00015504"/>
    <w:rsid w:val="000215BC"/>
    <w:rsid w:val="00026DE7"/>
    <w:rsid w:val="000344B9"/>
    <w:rsid w:val="00037E0C"/>
    <w:rsid w:val="000408A9"/>
    <w:rsid w:val="00043C9E"/>
    <w:rsid w:val="00044B34"/>
    <w:rsid w:val="0004502F"/>
    <w:rsid w:val="0004561E"/>
    <w:rsid w:val="00047836"/>
    <w:rsid w:val="00060B59"/>
    <w:rsid w:val="00064742"/>
    <w:rsid w:val="00064FE9"/>
    <w:rsid w:val="000650DA"/>
    <w:rsid w:val="00066B0F"/>
    <w:rsid w:val="00066E24"/>
    <w:rsid w:val="00072E6B"/>
    <w:rsid w:val="00073F7F"/>
    <w:rsid w:val="00096D45"/>
    <w:rsid w:val="000A02D1"/>
    <w:rsid w:val="000A2335"/>
    <w:rsid w:val="000A417F"/>
    <w:rsid w:val="000A63DD"/>
    <w:rsid w:val="000A6A98"/>
    <w:rsid w:val="000A7999"/>
    <w:rsid w:val="000B5279"/>
    <w:rsid w:val="000B5C67"/>
    <w:rsid w:val="000B72DC"/>
    <w:rsid w:val="000C0676"/>
    <w:rsid w:val="000C479D"/>
    <w:rsid w:val="000C76BF"/>
    <w:rsid w:val="000D1993"/>
    <w:rsid w:val="000E582F"/>
    <w:rsid w:val="000F4163"/>
    <w:rsid w:val="000F7528"/>
    <w:rsid w:val="001012A8"/>
    <w:rsid w:val="00103C91"/>
    <w:rsid w:val="00105BDC"/>
    <w:rsid w:val="001064B4"/>
    <w:rsid w:val="0012163F"/>
    <w:rsid w:val="0012587C"/>
    <w:rsid w:val="00141CDB"/>
    <w:rsid w:val="00141E3D"/>
    <w:rsid w:val="00151684"/>
    <w:rsid w:val="00156AD2"/>
    <w:rsid w:val="0016797D"/>
    <w:rsid w:val="00174CCE"/>
    <w:rsid w:val="001807EE"/>
    <w:rsid w:val="00180C91"/>
    <w:rsid w:val="001822A4"/>
    <w:rsid w:val="00192752"/>
    <w:rsid w:val="00192A4B"/>
    <w:rsid w:val="00195266"/>
    <w:rsid w:val="00196006"/>
    <w:rsid w:val="001A1F96"/>
    <w:rsid w:val="001A425C"/>
    <w:rsid w:val="001C7CC2"/>
    <w:rsid w:val="001E5FD5"/>
    <w:rsid w:val="001F741D"/>
    <w:rsid w:val="002064DA"/>
    <w:rsid w:val="002066C0"/>
    <w:rsid w:val="002069B9"/>
    <w:rsid w:val="00217CB2"/>
    <w:rsid w:val="00232276"/>
    <w:rsid w:val="00232548"/>
    <w:rsid w:val="002401FC"/>
    <w:rsid w:val="0024376B"/>
    <w:rsid w:val="0026284D"/>
    <w:rsid w:val="00263667"/>
    <w:rsid w:val="00272D5F"/>
    <w:rsid w:val="00273E0E"/>
    <w:rsid w:val="00274484"/>
    <w:rsid w:val="00286335"/>
    <w:rsid w:val="00293054"/>
    <w:rsid w:val="002A3C9D"/>
    <w:rsid w:val="002A7BF2"/>
    <w:rsid w:val="002B0FE3"/>
    <w:rsid w:val="002B2C74"/>
    <w:rsid w:val="002C1898"/>
    <w:rsid w:val="002C5F87"/>
    <w:rsid w:val="002C70A0"/>
    <w:rsid w:val="002D0010"/>
    <w:rsid w:val="002D7073"/>
    <w:rsid w:val="002E42B9"/>
    <w:rsid w:val="002E4C45"/>
    <w:rsid w:val="002E7871"/>
    <w:rsid w:val="002F0549"/>
    <w:rsid w:val="002F15DE"/>
    <w:rsid w:val="002F4326"/>
    <w:rsid w:val="00301FAD"/>
    <w:rsid w:val="00303EA0"/>
    <w:rsid w:val="003042F9"/>
    <w:rsid w:val="00306372"/>
    <w:rsid w:val="00311665"/>
    <w:rsid w:val="00313266"/>
    <w:rsid w:val="0031596E"/>
    <w:rsid w:val="00325729"/>
    <w:rsid w:val="0032762A"/>
    <w:rsid w:val="003305F3"/>
    <w:rsid w:val="00331C34"/>
    <w:rsid w:val="003326F0"/>
    <w:rsid w:val="00337F30"/>
    <w:rsid w:val="003508CF"/>
    <w:rsid w:val="00350EA7"/>
    <w:rsid w:val="00355556"/>
    <w:rsid w:val="003566BA"/>
    <w:rsid w:val="00356BB8"/>
    <w:rsid w:val="00361371"/>
    <w:rsid w:val="00363AE9"/>
    <w:rsid w:val="00364517"/>
    <w:rsid w:val="003703BC"/>
    <w:rsid w:val="00377B6E"/>
    <w:rsid w:val="00377F73"/>
    <w:rsid w:val="00380C9D"/>
    <w:rsid w:val="00390A54"/>
    <w:rsid w:val="00390BC9"/>
    <w:rsid w:val="003951BA"/>
    <w:rsid w:val="003A1CF1"/>
    <w:rsid w:val="003A33D1"/>
    <w:rsid w:val="003A3744"/>
    <w:rsid w:val="003A4B70"/>
    <w:rsid w:val="003A6C3B"/>
    <w:rsid w:val="003B28BC"/>
    <w:rsid w:val="003B313B"/>
    <w:rsid w:val="003B546A"/>
    <w:rsid w:val="003B6864"/>
    <w:rsid w:val="003C1F94"/>
    <w:rsid w:val="003C2527"/>
    <w:rsid w:val="003D50F8"/>
    <w:rsid w:val="003E1ABE"/>
    <w:rsid w:val="003E31EF"/>
    <w:rsid w:val="003F5257"/>
    <w:rsid w:val="0040299E"/>
    <w:rsid w:val="00406E50"/>
    <w:rsid w:val="004102EB"/>
    <w:rsid w:val="004109EE"/>
    <w:rsid w:val="0041233C"/>
    <w:rsid w:val="00436481"/>
    <w:rsid w:val="00443485"/>
    <w:rsid w:val="00444B79"/>
    <w:rsid w:val="00445141"/>
    <w:rsid w:val="004577CA"/>
    <w:rsid w:val="004629B0"/>
    <w:rsid w:val="00465608"/>
    <w:rsid w:val="00466BDE"/>
    <w:rsid w:val="00474658"/>
    <w:rsid w:val="00480752"/>
    <w:rsid w:val="00482CC4"/>
    <w:rsid w:val="0048492F"/>
    <w:rsid w:val="004855A2"/>
    <w:rsid w:val="004B4400"/>
    <w:rsid w:val="004D2828"/>
    <w:rsid w:val="004D56F1"/>
    <w:rsid w:val="004D67A4"/>
    <w:rsid w:val="004D7E78"/>
    <w:rsid w:val="004E0304"/>
    <w:rsid w:val="004E0643"/>
    <w:rsid w:val="004E62B1"/>
    <w:rsid w:val="004F1E16"/>
    <w:rsid w:val="004F2E2D"/>
    <w:rsid w:val="004F3E7A"/>
    <w:rsid w:val="004F7D32"/>
    <w:rsid w:val="00500AFA"/>
    <w:rsid w:val="00503073"/>
    <w:rsid w:val="00504246"/>
    <w:rsid w:val="00506BEB"/>
    <w:rsid w:val="00507A59"/>
    <w:rsid w:val="00520649"/>
    <w:rsid w:val="00520C75"/>
    <w:rsid w:val="005257E7"/>
    <w:rsid w:val="00527924"/>
    <w:rsid w:val="00535885"/>
    <w:rsid w:val="00540C93"/>
    <w:rsid w:val="00540FA1"/>
    <w:rsid w:val="00547DF0"/>
    <w:rsid w:val="005558B6"/>
    <w:rsid w:val="0055689E"/>
    <w:rsid w:val="005612F5"/>
    <w:rsid w:val="00572D10"/>
    <w:rsid w:val="0057460F"/>
    <w:rsid w:val="005806A7"/>
    <w:rsid w:val="00580B8C"/>
    <w:rsid w:val="005844EC"/>
    <w:rsid w:val="005A31CF"/>
    <w:rsid w:val="005A6F44"/>
    <w:rsid w:val="005B3903"/>
    <w:rsid w:val="005B5E61"/>
    <w:rsid w:val="005C65F0"/>
    <w:rsid w:val="005D100F"/>
    <w:rsid w:val="005D46CC"/>
    <w:rsid w:val="005D6187"/>
    <w:rsid w:val="005D64F0"/>
    <w:rsid w:val="006039A7"/>
    <w:rsid w:val="00607E98"/>
    <w:rsid w:val="00611F95"/>
    <w:rsid w:val="00613B51"/>
    <w:rsid w:val="006144EE"/>
    <w:rsid w:val="00625427"/>
    <w:rsid w:val="00627539"/>
    <w:rsid w:val="00635EAF"/>
    <w:rsid w:val="00641103"/>
    <w:rsid w:val="00643A19"/>
    <w:rsid w:val="0064643D"/>
    <w:rsid w:val="006521B9"/>
    <w:rsid w:val="00654FED"/>
    <w:rsid w:val="0066558E"/>
    <w:rsid w:val="00667308"/>
    <w:rsid w:val="00667EA0"/>
    <w:rsid w:val="00672E8F"/>
    <w:rsid w:val="00674912"/>
    <w:rsid w:val="00674D5D"/>
    <w:rsid w:val="00677D6A"/>
    <w:rsid w:val="00684A06"/>
    <w:rsid w:val="00691ADE"/>
    <w:rsid w:val="00692C30"/>
    <w:rsid w:val="00697126"/>
    <w:rsid w:val="006B0CE1"/>
    <w:rsid w:val="006B14C5"/>
    <w:rsid w:val="006B6128"/>
    <w:rsid w:val="006C08DD"/>
    <w:rsid w:val="006C1977"/>
    <w:rsid w:val="006C2C5A"/>
    <w:rsid w:val="006C2F8B"/>
    <w:rsid w:val="006C51A4"/>
    <w:rsid w:val="006C5522"/>
    <w:rsid w:val="006C79BE"/>
    <w:rsid w:val="006C7C0E"/>
    <w:rsid w:val="006D355C"/>
    <w:rsid w:val="006D4EA5"/>
    <w:rsid w:val="006E1E23"/>
    <w:rsid w:val="006F0908"/>
    <w:rsid w:val="006F0E66"/>
    <w:rsid w:val="006F1CAF"/>
    <w:rsid w:val="006F1D20"/>
    <w:rsid w:val="007018F0"/>
    <w:rsid w:val="00710C7A"/>
    <w:rsid w:val="00712348"/>
    <w:rsid w:val="00717154"/>
    <w:rsid w:val="007177A7"/>
    <w:rsid w:val="007201D3"/>
    <w:rsid w:val="0072667C"/>
    <w:rsid w:val="00731203"/>
    <w:rsid w:val="00740DB4"/>
    <w:rsid w:val="0074120D"/>
    <w:rsid w:val="007427C3"/>
    <w:rsid w:val="00751C1A"/>
    <w:rsid w:val="00756281"/>
    <w:rsid w:val="00756C14"/>
    <w:rsid w:val="00760778"/>
    <w:rsid w:val="007616A9"/>
    <w:rsid w:val="0076177C"/>
    <w:rsid w:val="00762AD2"/>
    <w:rsid w:val="00770B34"/>
    <w:rsid w:val="00772893"/>
    <w:rsid w:val="00775F7B"/>
    <w:rsid w:val="00777088"/>
    <w:rsid w:val="00780E00"/>
    <w:rsid w:val="00784AC8"/>
    <w:rsid w:val="00785930"/>
    <w:rsid w:val="00786405"/>
    <w:rsid w:val="00792A80"/>
    <w:rsid w:val="00793654"/>
    <w:rsid w:val="0079713D"/>
    <w:rsid w:val="00797467"/>
    <w:rsid w:val="00797BEF"/>
    <w:rsid w:val="007A201D"/>
    <w:rsid w:val="007A3EFD"/>
    <w:rsid w:val="007A624D"/>
    <w:rsid w:val="007B192E"/>
    <w:rsid w:val="007B5593"/>
    <w:rsid w:val="007D02F3"/>
    <w:rsid w:val="007D2252"/>
    <w:rsid w:val="007D465A"/>
    <w:rsid w:val="007D4FC6"/>
    <w:rsid w:val="007D546F"/>
    <w:rsid w:val="007D6415"/>
    <w:rsid w:val="007D6C84"/>
    <w:rsid w:val="007D6DAD"/>
    <w:rsid w:val="007E0CF4"/>
    <w:rsid w:val="007E20C6"/>
    <w:rsid w:val="007E50EB"/>
    <w:rsid w:val="007E6B09"/>
    <w:rsid w:val="007F2067"/>
    <w:rsid w:val="007F2334"/>
    <w:rsid w:val="007F2AE9"/>
    <w:rsid w:val="007F2B76"/>
    <w:rsid w:val="00803B22"/>
    <w:rsid w:val="0080683B"/>
    <w:rsid w:val="0080791C"/>
    <w:rsid w:val="00810525"/>
    <w:rsid w:val="008115FE"/>
    <w:rsid w:val="00812150"/>
    <w:rsid w:val="008168BA"/>
    <w:rsid w:val="00817308"/>
    <w:rsid w:val="00824602"/>
    <w:rsid w:val="00824A44"/>
    <w:rsid w:val="00824B7C"/>
    <w:rsid w:val="0082623A"/>
    <w:rsid w:val="00832998"/>
    <w:rsid w:val="00841121"/>
    <w:rsid w:val="00841B63"/>
    <w:rsid w:val="0084521C"/>
    <w:rsid w:val="008478F8"/>
    <w:rsid w:val="008564D8"/>
    <w:rsid w:val="008570FA"/>
    <w:rsid w:val="008610DC"/>
    <w:rsid w:val="00861D44"/>
    <w:rsid w:val="00864F83"/>
    <w:rsid w:val="00876615"/>
    <w:rsid w:val="0088192E"/>
    <w:rsid w:val="0088342F"/>
    <w:rsid w:val="008A23A1"/>
    <w:rsid w:val="008A2E49"/>
    <w:rsid w:val="008A5317"/>
    <w:rsid w:val="008B1088"/>
    <w:rsid w:val="008B39E4"/>
    <w:rsid w:val="008B40D8"/>
    <w:rsid w:val="008C54DA"/>
    <w:rsid w:val="008D51EF"/>
    <w:rsid w:val="008D78B7"/>
    <w:rsid w:val="008E0373"/>
    <w:rsid w:val="008E241A"/>
    <w:rsid w:val="008E3630"/>
    <w:rsid w:val="008E3A23"/>
    <w:rsid w:val="008E5501"/>
    <w:rsid w:val="008E7CFB"/>
    <w:rsid w:val="008F05EA"/>
    <w:rsid w:val="008F1B24"/>
    <w:rsid w:val="008F29AE"/>
    <w:rsid w:val="008F3381"/>
    <w:rsid w:val="009019C3"/>
    <w:rsid w:val="00910D03"/>
    <w:rsid w:val="00921904"/>
    <w:rsid w:val="00921983"/>
    <w:rsid w:val="009263A9"/>
    <w:rsid w:val="00927F1D"/>
    <w:rsid w:val="00930346"/>
    <w:rsid w:val="00931356"/>
    <w:rsid w:val="0093257D"/>
    <w:rsid w:val="00935E9F"/>
    <w:rsid w:val="009379EA"/>
    <w:rsid w:val="00943ED6"/>
    <w:rsid w:val="00946DAF"/>
    <w:rsid w:val="00947CDA"/>
    <w:rsid w:val="00955B8E"/>
    <w:rsid w:val="0096145E"/>
    <w:rsid w:val="00963949"/>
    <w:rsid w:val="00966457"/>
    <w:rsid w:val="00974D9E"/>
    <w:rsid w:val="009754E0"/>
    <w:rsid w:val="00984FC3"/>
    <w:rsid w:val="00985E99"/>
    <w:rsid w:val="00987869"/>
    <w:rsid w:val="00987E94"/>
    <w:rsid w:val="00990A46"/>
    <w:rsid w:val="009C0873"/>
    <w:rsid w:val="009C7ABA"/>
    <w:rsid w:val="009D207C"/>
    <w:rsid w:val="009D2F2C"/>
    <w:rsid w:val="009D4275"/>
    <w:rsid w:val="009E0FDC"/>
    <w:rsid w:val="009E5F13"/>
    <w:rsid w:val="009F5ADE"/>
    <w:rsid w:val="009F659B"/>
    <w:rsid w:val="00A01FD0"/>
    <w:rsid w:val="00A04B22"/>
    <w:rsid w:val="00A07488"/>
    <w:rsid w:val="00A13DDB"/>
    <w:rsid w:val="00A1539E"/>
    <w:rsid w:val="00A15B24"/>
    <w:rsid w:val="00A1675B"/>
    <w:rsid w:val="00A257BE"/>
    <w:rsid w:val="00A27561"/>
    <w:rsid w:val="00A30C2B"/>
    <w:rsid w:val="00A33E37"/>
    <w:rsid w:val="00A35249"/>
    <w:rsid w:val="00A53E84"/>
    <w:rsid w:val="00A543A0"/>
    <w:rsid w:val="00A60DAA"/>
    <w:rsid w:val="00A62AC6"/>
    <w:rsid w:val="00A62D84"/>
    <w:rsid w:val="00A662F4"/>
    <w:rsid w:val="00A66383"/>
    <w:rsid w:val="00A6673D"/>
    <w:rsid w:val="00A66832"/>
    <w:rsid w:val="00A74B9A"/>
    <w:rsid w:val="00A760AC"/>
    <w:rsid w:val="00A832D9"/>
    <w:rsid w:val="00A83699"/>
    <w:rsid w:val="00A90C51"/>
    <w:rsid w:val="00A92172"/>
    <w:rsid w:val="00AB3775"/>
    <w:rsid w:val="00AB5552"/>
    <w:rsid w:val="00AB65E7"/>
    <w:rsid w:val="00AC042E"/>
    <w:rsid w:val="00AC3D95"/>
    <w:rsid w:val="00AE0128"/>
    <w:rsid w:val="00AE2160"/>
    <w:rsid w:val="00AE4C32"/>
    <w:rsid w:val="00AE50F2"/>
    <w:rsid w:val="00AF0A96"/>
    <w:rsid w:val="00B03CC3"/>
    <w:rsid w:val="00B166BA"/>
    <w:rsid w:val="00B23970"/>
    <w:rsid w:val="00B316DD"/>
    <w:rsid w:val="00B377DB"/>
    <w:rsid w:val="00B40443"/>
    <w:rsid w:val="00B40FBB"/>
    <w:rsid w:val="00B42EFB"/>
    <w:rsid w:val="00B45C75"/>
    <w:rsid w:val="00B4688E"/>
    <w:rsid w:val="00B53863"/>
    <w:rsid w:val="00B61940"/>
    <w:rsid w:val="00B62E9A"/>
    <w:rsid w:val="00B748DF"/>
    <w:rsid w:val="00B74A23"/>
    <w:rsid w:val="00B76511"/>
    <w:rsid w:val="00B83AD2"/>
    <w:rsid w:val="00B93243"/>
    <w:rsid w:val="00B95784"/>
    <w:rsid w:val="00BB2932"/>
    <w:rsid w:val="00BB2C82"/>
    <w:rsid w:val="00BB7AE0"/>
    <w:rsid w:val="00BC4D25"/>
    <w:rsid w:val="00BD1E8D"/>
    <w:rsid w:val="00BF6283"/>
    <w:rsid w:val="00C01668"/>
    <w:rsid w:val="00C02469"/>
    <w:rsid w:val="00C075C0"/>
    <w:rsid w:val="00C10CD4"/>
    <w:rsid w:val="00C1215E"/>
    <w:rsid w:val="00C137F2"/>
    <w:rsid w:val="00C169FA"/>
    <w:rsid w:val="00C22F39"/>
    <w:rsid w:val="00C26284"/>
    <w:rsid w:val="00C306FC"/>
    <w:rsid w:val="00C32C15"/>
    <w:rsid w:val="00C40090"/>
    <w:rsid w:val="00C4038C"/>
    <w:rsid w:val="00C52C1E"/>
    <w:rsid w:val="00C57DEC"/>
    <w:rsid w:val="00C617A7"/>
    <w:rsid w:val="00C61F85"/>
    <w:rsid w:val="00C65B30"/>
    <w:rsid w:val="00C76A68"/>
    <w:rsid w:val="00C8200C"/>
    <w:rsid w:val="00C845E2"/>
    <w:rsid w:val="00C858EE"/>
    <w:rsid w:val="00C87506"/>
    <w:rsid w:val="00CA186C"/>
    <w:rsid w:val="00CA3BE3"/>
    <w:rsid w:val="00CB1C45"/>
    <w:rsid w:val="00CB61F1"/>
    <w:rsid w:val="00CB7424"/>
    <w:rsid w:val="00CC453C"/>
    <w:rsid w:val="00CD5A9E"/>
    <w:rsid w:val="00CE3778"/>
    <w:rsid w:val="00CE39F1"/>
    <w:rsid w:val="00CE6CDA"/>
    <w:rsid w:val="00CF4923"/>
    <w:rsid w:val="00CF5C04"/>
    <w:rsid w:val="00D02C7D"/>
    <w:rsid w:val="00D06703"/>
    <w:rsid w:val="00D12F8B"/>
    <w:rsid w:val="00D14D4F"/>
    <w:rsid w:val="00D16D39"/>
    <w:rsid w:val="00D21499"/>
    <w:rsid w:val="00D23A9B"/>
    <w:rsid w:val="00D259AB"/>
    <w:rsid w:val="00D261D3"/>
    <w:rsid w:val="00D40AB8"/>
    <w:rsid w:val="00D40D29"/>
    <w:rsid w:val="00D477BF"/>
    <w:rsid w:val="00D507CA"/>
    <w:rsid w:val="00D5110A"/>
    <w:rsid w:val="00D51736"/>
    <w:rsid w:val="00D54A1F"/>
    <w:rsid w:val="00D73900"/>
    <w:rsid w:val="00D83865"/>
    <w:rsid w:val="00D85147"/>
    <w:rsid w:val="00DA5CB6"/>
    <w:rsid w:val="00DB0CF3"/>
    <w:rsid w:val="00DB21CA"/>
    <w:rsid w:val="00DB3E5A"/>
    <w:rsid w:val="00DC062C"/>
    <w:rsid w:val="00DC0681"/>
    <w:rsid w:val="00DC2FF9"/>
    <w:rsid w:val="00DC6EAE"/>
    <w:rsid w:val="00DC725C"/>
    <w:rsid w:val="00DC73A5"/>
    <w:rsid w:val="00DD7031"/>
    <w:rsid w:val="00DE4483"/>
    <w:rsid w:val="00DE56C9"/>
    <w:rsid w:val="00DF682A"/>
    <w:rsid w:val="00E0090B"/>
    <w:rsid w:val="00E00B41"/>
    <w:rsid w:val="00E06808"/>
    <w:rsid w:val="00E1668B"/>
    <w:rsid w:val="00E212A8"/>
    <w:rsid w:val="00E21E52"/>
    <w:rsid w:val="00E23FE9"/>
    <w:rsid w:val="00E31BE2"/>
    <w:rsid w:val="00E36D8F"/>
    <w:rsid w:val="00E37908"/>
    <w:rsid w:val="00E456D1"/>
    <w:rsid w:val="00E46F6D"/>
    <w:rsid w:val="00E53367"/>
    <w:rsid w:val="00E56CCA"/>
    <w:rsid w:val="00E57E97"/>
    <w:rsid w:val="00E61FB9"/>
    <w:rsid w:val="00E71597"/>
    <w:rsid w:val="00E7264A"/>
    <w:rsid w:val="00E748FA"/>
    <w:rsid w:val="00E7786F"/>
    <w:rsid w:val="00E84266"/>
    <w:rsid w:val="00E8433C"/>
    <w:rsid w:val="00E84F49"/>
    <w:rsid w:val="00E94F6D"/>
    <w:rsid w:val="00E97D4F"/>
    <w:rsid w:val="00EA0F14"/>
    <w:rsid w:val="00EA2F2C"/>
    <w:rsid w:val="00EA387B"/>
    <w:rsid w:val="00EA4622"/>
    <w:rsid w:val="00EB0E18"/>
    <w:rsid w:val="00EC12ED"/>
    <w:rsid w:val="00EC329E"/>
    <w:rsid w:val="00EC6067"/>
    <w:rsid w:val="00EC7990"/>
    <w:rsid w:val="00ED2952"/>
    <w:rsid w:val="00ED401B"/>
    <w:rsid w:val="00ED6BCB"/>
    <w:rsid w:val="00EE1695"/>
    <w:rsid w:val="00EE2811"/>
    <w:rsid w:val="00EE3784"/>
    <w:rsid w:val="00EE42A9"/>
    <w:rsid w:val="00EE59A7"/>
    <w:rsid w:val="00EF0C6D"/>
    <w:rsid w:val="00EF1F24"/>
    <w:rsid w:val="00F037EA"/>
    <w:rsid w:val="00F05520"/>
    <w:rsid w:val="00F1151F"/>
    <w:rsid w:val="00F12D35"/>
    <w:rsid w:val="00F13556"/>
    <w:rsid w:val="00F15259"/>
    <w:rsid w:val="00F153BD"/>
    <w:rsid w:val="00F17AA2"/>
    <w:rsid w:val="00F23148"/>
    <w:rsid w:val="00F34E2E"/>
    <w:rsid w:val="00F41D68"/>
    <w:rsid w:val="00F422F9"/>
    <w:rsid w:val="00F43D0C"/>
    <w:rsid w:val="00F44B68"/>
    <w:rsid w:val="00F46A68"/>
    <w:rsid w:val="00F5549D"/>
    <w:rsid w:val="00F55A36"/>
    <w:rsid w:val="00F66F1F"/>
    <w:rsid w:val="00F713E9"/>
    <w:rsid w:val="00F7241C"/>
    <w:rsid w:val="00F727A4"/>
    <w:rsid w:val="00F7480B"/>
    <w:rsid w:val="00F74B00"/>
    <w:rsid w:val="00F8056B"/>
    <w:rsid w:val="00F80676"/>
    <w:rsid w:val="00F84A83"/>
    <w:rsid w:val="00F84D34"/>
    <w:rsid w:val="00F874A0"/>
    <w:rsid w:val="00F94E8C"/>
    <w:rsid w:val="00FA0E40"/>
    <w:rsid w:val="00FA339A"/>
    <w:rsid w:val="00FA73E4"/>
    <w:rsid w:val="00FB543C"/>
    <w:rsid w:val="00FB7830"/>
    <w:rsid w:val="00FD277A"/>
    <w:rsid w:val="00FD572A"/>
    <w:rsid w:val="00FE0DFE"/>
    <w:rsid w:val="00FE4A7D"/>
    <w:rsid w:val="00FE510B"/>
    <w:rsid w:val="00FE5A11"/>
    <w:rsid w:val="00FE5B29"/>
    <w:rsid w:val="00FF40AD"/>
    <w:rsid w:val="00FF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67980"/>
  <w15:docId w15:val="{F3776D10-81FB-4199-B689-929045AD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OSA Note Heading"/>
    <w:basedOn w:val="Normal"/>
    <w:next w:val="Normal"/>
    <w:link w:val="Heading1Char"/>
    <w:qFormat/>
    <w:rsid w:val="002B0FE3"/>
    <w:pPr>
      <w:keepNext/>
      <w:tabs>
        <w:tab w:val="left" w:pos="1080"/>
      </w:tabs>
      <w:spacing w:before="480" w:after="240" w:line="240" w:lineRule="auto"/>
      <w:outlineLvl w:val="0"/>
    </w:pPr>
    <w:rPr>
      <w:rFonts w:ascii="Arial Bold" w:eastAsia="Times New Roman" w:hAnsi="Arial Bold" w:cs="Times New Roman"/>
      <w:b/>
      <w:smallCaps/>
      <w:kern w:val="28"/>
      <w:szCs w:val="20"/>
    </w:rPr>
  </w:style>
  <w:style w:type="paragraph" w:styleId="Heading2">
    <w:name w:val="heading 2"/>
    <w:basedOn w:val="Normal"/>
    <w:next w:val="Normal"/>
    <w:link w:val="Heading2Char"/>
    <w:qFormat/>
    <w:rsid w:val="00293054"/>
    <w:pPr>
      <w:keepLines/>
      <w:pBdr>
        <w:bottom w:val="single" w:sz="12" w:space="1" w:color="auto"/>
      </w:pBdr>
      <w:spacing w:after="600" w:line="240" w:lineRule="auto"/>
      <w:jc w:val="center"/>
      <w:outlineLvl w:val="1"/>
    </w:pPr>
    <w:rPr>
      <w:rFonts w:ascii="Arial Bold" w:eastAsia="Times New Roman" w:hAnsi="Arial Bold" w:cs="Arial"/>
      <w:b/>
      <w:smallCaps/>
      <w:sz w:val="44"/>
      <w:szCs w:val="44"/>
    </w:rPr>
  </w:style>
  <w:style w:type="paragraph" w:styleId="Heading3">
    <w:name w:val="heading 3"/>
    <w:basedOn w:val="Normal"/>
    <w:next w:val="Normal"/>
    <w:link w:val="Heading3Char"/>
    <w:qFormat/>
    <w:rsid w:val="00293054"/>
    <w:pPr>
      <w:spacing w:after="0" w:line="240" w:lineRule="auto"/>
      <w:jc w:val="center"/>
      <w:outlineLvl w:val="2"/>
    </w:pPr>
    <w:rPr>
      <w:rFonts w:ascii="Arial Bold" w:eastAsia="Times New Roman" w:hAnsi="Arial Bold" w:cs="Arial"/>
      <w:b/>
      <w:smallCaps/>
      <w:sz w:val="96"/>
      <w:szCs w:val="96"/>
      <w14:shadow w14:blurRad="50800" w14:dist="38100" w14:dir="5400000" w14:sx="100000" w14:sy="100000" w14:kx="0" w14:ky="0" w14:algn="t">
        <w14:srgbClr w14:val="000000">
          <w14:alpha w14:val="60000"/>
        </w14:srgbClr>
      </w14:shadow>
    </w:rPr>
  </w:style>
  <w:style w:type="paragraph" w:styleId="Heading4">
    <w:name w:val="heading 4"/>
    <w:basedOn w:val="Normal"/>
    <w:next w:val="Normal"/>
    <w:link w:val="Heading4Char"/>
    <w:qFormat/>
    <w:rsid w:val="00841121"/>
    <w:pPr>
      <w:keepNext/>
      <w:tabs>
        <w:tab w:val="right" w:pos="8928"/>
      </w:tabs>
      <w:spacing w:after="240" w:line="240" w:lineRule="auto"/>
      <w:ind w:left="720" w:right="1440"/>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841121"/>
    <w:pPr>
      <w:keepNext/>
      <w:spacing w:after="0" w:line="240" w:lineRule="auto"/>
      <w:jc w:val="center"/>
      <w:outlineLvl w:val="4"/>
    </w:pPr>
    <w:rPr>
      <w:rFonts w:ascii="Times New Roman" w:eastAsia="Times New Roman" w:hAnsi="Times New Roman" w:cs="Times New Roman"/>
      <w:snapToGrid w:val="0"/>
      <w:color w:val="000000"/>
      <w:sz w:val="20"/>
      <w:szCs w:val="20"/>
      <w:u w:val="single"/>
    </w:rPr>
  </w:style>
  <w:style w:type="paragraph" w:styleId="Heading6">
    <w:name w:val="heading 6"/>
    <w:basedOn w:val="Normal"/>
    <w:next w:val="Normal"/>
    <w:link w:val="Heading6Char"/>
    <w:qFormat/>
    <w:rsid w:val="00841121"/>
    <w:pPr>
      <w:keepNext/>
      <w:tabs>
        <w:tab w:val="left" w:pos="8520"/>
      </w:tabs>
      <w:spacing w:after="360" w:line="240" w:lineRule="auto"/>
      <w:jc w:val="right"/>
      <w:outlineLvl w:val="5"/>
    </w:pPr>
    <w:rPr>
      <w:rFonts w:ascii="Times New Roman" w:eastAsia="Times New Roman" w:hAnsi="Times New Roman" w:cs="Times New Roman"/>
      <w:smallCaps/>
      <w:sz w:val="24"/>
      <w:szCs w:val="20"/>
    </w:rPr>
  </w:style>
  <w:style w:type="paragraph" w:styleId="Heading7">
    <w:name w:val="heading 7"/>
    <w:basedOn w:val="Normal"/>
    <w:next w:val="Normal"/>
    <w:link w:val="Heading7Char"/>
    <w:unhideWhenUsed/>
    <w:qFormat/>
    <w:rsid w:val="00841121"/>
    <w:pPr>
      <w:spacing w:before="240" w:after="60" w:line="240" w:lineRule="auto"/>
      <w:outlineLvl w:val="6"/>
    </w:pPr>
    <w:rPr>
      <w:rFonts w:ascii="Calibri" w:eastAsia="Times New Roman" w:hAnsi="Calibri" w:cs="Times New Roman"/>
      <w:sz w:val="24"/>
      <w:szCs w:val="24"/>
    </w:rPr>
  </w:style>
  <w:style w:type="paragraph" w:styleId="Heading9">
    <w:name w:val="heading 9"/>
    <w:basedOn w:val="Normal"/>
    <w:next w:val="Normal"/>
    <w:link w:val="Heading9Char"/>
    <w:qFormat/>
    <w:rsid w:val="0084112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60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778"/>
  </w:style>
  <w:style w:type="paragraph" w:styleId="Header">
    <w:name w:val="header"/>
    <w:basedOn w:val="Normal"/>
    <w:link w:val="HeaderChar"/>
    <w:unhideWhenUsed/>
    <w:rsid w:val="00760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778"/>
  </w:style>
  <w:style w:type="paragraph" w:styleId="Subtitle">
    <w:name w:val="Subtitle"/>
    <w:basedOn w:val="Normal"/>
    <w:next w:val="Normal"/>
    <w:link w:val="SubtitleChar"/>
    <w:uiPriority w:val="11"/>
    <w:qFormat/>
    <w:rsid w:val="007607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60778"/>
    <w:rPr>
      <w:rFonts w:asciiTheme="majorHAnsi" w:eastAsiaTheme="majorEastAsia" w:hAnsiTheme="majorHAnsi" w:cstheme="majorBidi"/>
      <w:i/>
      <w:iCs/>
      <w:color w:val="4F81BD" w:themeColor="accent1"/>
      <w:spacing w:val="15"/>
      <w:sz w:val="24"/>
      <w:szCs w:val="24"/>
    </w:rPr>
  </w:style>
  <w:style w:type="paragraph" w:customStyle="1" w:styleId="CENTEREDUNDERLINED">
    <w:name w:val="CENTERED UNDERLINED"/>
    <w:rsid w:val="00760778"/>
    <w:pPr>
      <w:spacing w:after="240" w:line="240" w:lineRule="exact"/>
      <w:jc w:val="center"/>
    </w:pPr>
    <w:rPr>
      <w:rFonts w:ascii="Univers (W1)" w:eastAsia="Times New Roman" w:hAnsi="Univers (W1)" w:cs="Times New Roman"/>
      <w:sz w:val="20"/>
      <w:szCs w:val="20"/>
      <w:u w:val="single"/>
    </w:rPr>
  </w:style>
  <w:style w:type="character" w:styleId="PageNumber">
    <w:name w:val="page number"/>
    <w:basedOn w:val="DefaultParagraphFont"/>
    <w:rsid w:val="00760778"/>
  </w:style>
  <w:style w:type="paragraph" w:styleId="BalloonText">
    <w:name w:val="Balloon Text"/>
    <w:basedOn w:val="Normal"/>
    <w:link w:val="BalloonTextChar"/>
    <w:unhideWhenUsed/>
    <w:rsid w:val="0076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0778"/>
    <w:rPr>
      <w:rFonts w:ascii="Tahoma" w:hAnsi="Tahoma" w:cs="Tahoma"/>
      <w:sz w:val="16"/>
      <w:szCs w:val="16"/>
    </w:rPr>
  </w:style>
  <w:style w:type="character" w:customStyle="1" w:styleId="Heading1Char">
    <w:name w:val="Heading 1 Char"/>
    <w:aliases w:val="OSA Note Heading Char"/>
    <w:basedOn w:val="DefaultParagraphFont"/>
    <w:link w:val="Heading1"/>
    <w:rsid w:val="002B0FE3"/>
    <w:rPr>
      <w:rFonts w:ascii="Arial Bold" w:eastAsia="Times New Roman" w:hAnsi="Arial Bold" w:cs="Times New Roman"/>
      <w:b/>
      <w:smallCaps/>
      <w:kern w:val="28"/>
      <w:szCs w:val="20"/>
    </w:rPr>
  </w:style>
  <w:style w:type="character" w:customStyle="1" w:styleId="Heading2Char">
    <w:name w:val="Heading 2 Char"/>
    <w:basedOn w:val="DefaultParagraphFont"/>
    <w:link w:val="Heading2"/>
    <w:rsid w:val="00293054"/>
    <w:rPr>
      <w:rFonts w:ascii="Arial Bold" w:eastAsia="Times New Roman" w:hAnsi="Arial Bold" w:cs="Arial"/>
      <w:b/>
      <w:smallCaps/>
      <w:sz w:val="44"/>
      <w:szCs w:val="44"/>
    </w:rPr>
  </w:style>
  <w:style w:type="character" w:customStyle="1" w:styleId="Heading3Char">
    <w:name w:val="Heading 3 Char"/>
    <w:basedOn w:val="DefaultParagraphFont"/>
    <w:link w:val="Heading3"/>
    <w:rsid w:val="00293054"/>
    <w:rPr>
      <w:rFonts w:ascii="Arial Bold" w:eastAsia="Times New Roman" w:hAnsi="Arial Bold" w:cs="Arial"/>
      <w:b/>
      <w:smallCaps/>
      <w:sz w:val="96"/>
      <w:szCs w:val="96"/>
      <w14:shadow w14:blurRad="50800" w14:dist="38100" w14:dir="5400000" w14:sx="100000" w14:sy="100000" w14:kx="0" w14:ky="0" w14:algn="t">
        <w14:srgbClr w14:val="000000">
          <w14:alpha w14:val="60000"/>
        </w14:srgbClr>
      </w14:shadow>
    </w:rPr>
  </w:style>
  <w:style w:type="character" w:customStyle="1" w:styleId="Heading4Char">
    <w:name w:val="Heading 4 Char"/>
    <w:basedOn w:val="DefaultParagraphFont"/>
    <w:link w:val="Heading4"/>
    <w:rsid w:val="00841121"/>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841121"/>
    <w:rPr>
      <w:rFonts w:ascii="Times New Roman" w:eastAsia="Times New Roman" w:hAnsi="Times New Roman" w:cs="Times New Roman"/>
      <w:snapToGrid w:val="0"/>
      <w:color w:val="000000"/>
      <w:sz w:val="20"/>
      <w:szCs w:val="20"/>
      <w:u w:val="single"/>
    </w:rPr>
  </w:style>
  <w:style w:type="character" w:customStyle="1" w:styleId="Heading6Char">
    <w:name w:val="Heading 6 Char"/>
    <w:basedOn w:val="DefaultParagraphFont"/>
    <w:link w:val="Heading6"/>
    <w:rsid w:val="00841121"/>
    <w:rPr>
      <w:rFonts w:ascii="Times New Roman" w:eastAsia="Times New Roman" w:hAnsi="Times New Roman" w:cs="Times New Roman"/>
      <w:smallCaps/>
      <w:sz w:val="24"/>
      <w:szCs w:val="20"/>
    </w:rPr>
  </w:style>
  <w:style w:type="character" w:customStyle="1" w:styleId="Heading7Char">
    <w:name w:val="Heading 7 Char"/>
    <w:basedOn w:val="DefaultParagraphFont"/>
    <w:link w:val="Heading7"/>
    <w:rsid w:val="00841121"/>
    <w:rPr>
      <w:rFonts w:ascii="Calibri" w:eastAsia="Times New Roman" w:hAnsi="Calibri" w:cs="Times New Roman"/>
      <w:sz w:val="24"/>
      <w:szCs w:val="24"/>
    </w:rPr>
  </w:style>
  <w:style w:type="character" w:customStyle="1" w:styleId="Heading9Char">
    <w:name w:val="Heading 9 Char"/>
    <w:basedOn w:val="DefaultParagraphFont"/>
    <w:link w:val="Heading9"/>
    <w:rsid w:val="00841121"/>
    <w:rPr>
      <w:rFonts w:ascii="Arial" w:eastAsia="Times New Roman" w:hAnsi="Arial" w:cs="Arial"/>
    </w:rPr>
  </w:style>
  <w:style w:type="numbering" w:customStyle="1" w:styleId="NoList1">
    <w:name w:val="No List1"/>
    <w:next w:val="NoList"/>
    <w:uiPriority w:val="99"/>
    <w:semiHidden/>
    <w:unhideWhenUsed/>
    <w:rsid w:val="00841121"/>
  </w:style>
  <w:style w:type="paragraph" w:customStyle="1" w:styleId="123">
    <w:name w:val="123"/>
    <w:basedOn w:val="Normal"/>
    <w:rsid w:val="00841121"/>
    <w:pPr>
      <w:tabs>
        <w:tab w:val="left" w:pos="1728"/>
      </w:tabs>
      <w:spacing w:before="120" w:after="240" w:line="240" w:lineRule="auto"/>
      <w:ind w:left="432" w:hanging="432"/>
      <w:jc w:val="both"/>
    </w:pPr>
    <w:rPr>
      <w:rFonts w:ascii="Times New Roman" w:eastAsia="Times New Roman" w:hAnsi="Times New Roman" w:cs="Times New Roman"/>
      <w:smallCaps/>
      <w:sz w:val="24"/>
      <w:szCs w:val="20"/>
    </w:rPr>
  </w:style>
  <w:style w:type="paragraph" w:customStyle="1" w:styleId="FLUSHLEFT">
    <w:name w:val="FLUSH LEFT"/>
    <w:rsid w:val="00841121"/>
    <w:pPr>
      <w:spacing w:after="480" w:line="240" w:lineRule="auto"/>
    </w:pPr>
    <w:rPr>
      <w:rFonts w:ascii="Times New Roman" w:eastAsia="Times New Roman" w:hAnsi="Times New Roman" w:cs="Times New Roman"/>
      <w:sz w:val="24"/>
      <w:szCs w:val="20"/>
    </w:rPr>
  </w:style>
  <w:style w:type="paragraph" w:customStyle="1" w:styleId="CENTERED">
    <w:name w:val="CENTERED"/>
    <w:rsid w:val="00841121"/>
    <w:pPr>
      <w:spacing w:after="240" w:line="240" w:lineRule="exact"/>
      <w:jc w:val="center"/>
    </w:pPr>
    <w:rPr>
      <w:rFonts w:ascii="Univers (W1)" w:eastAsia="Times New Roman" w:hAnsi="Univers (W1)" w:cs="Times New Roman"/>
      <w:sz w:val="20"/>
      <w:szCs w:val="20"/>
    </w:rPr>
  </w:style>
  <w:style w:type="paragraph" w:styleId="Date">
    <w:name w:val="Date"/>
    <w:basedOn w:val="Normal"/>
    <w:link w:val="DateChar"/>
    <w:rsid w:val="00841121"/>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41121"/>
    <w:rPr>
      <w:rFonts w:ascii="Times New Roman" w:eastAsia="Times New Roman" w:hAnsi="Times New Roman" w:cs="Times New Roman"/>
      <w:sz w:val="24"/>
      <w:szCs w:val="20"/>
    </w:rPr>
  </w:style>
  <w:style w:type="paragraph" w:customStyle="1" w:styleId="PARAGRAPH">
    <w:name w:val="PARAGRAPH"/>
    <w:rsid w:val="00841121"/>
    <w:pPr>
      <w:spacing w:after="240" w:line="240" w:lineRule="auto"/>
      <w:jc w:val="both"/>
    </w:pPr>
    <w:rPr>
      <w:rFonts w:ascii="Times New Roman" w:eastAsia="Times New Roman" w:hAnsi="Times New Roman" w:cs="Times New Roman"/>
      <w:sz w:val="24"/>
      <w:szCs w:val="20"/>
    </w:rPr>
  </w:style>
  <w:style w:type="paragraph" w:customStyle="1" w:styleId="F-indented">
    <w:name w:val="F-indented"/>
    <w:basedOn w:val="PARAGRAPH"/>
    <w:rsid w:val="00841121"/>
    <w:pPr>
      <w:ind w:left="864" w:hanging="432"/>
    </w:pPr>
  </w:style>
  <w:style w:type="paragraph" w:customStyle="1" w:styleId="F-noindent">
    <w:name w:val="F-noindent"/>
    <w:basedOn w:val="Normal"/>
    <w:rsid w:val="00841121"/>
    <w:pPr>
      <w:spacing w:after="240" w:line="240" w:lineRule="auto"/>
      <w:ind w:left="432" w:hanging="432"/>
      <w:jc w:val="both"/>
    </w:pPr>
    <w:rPr>
      <w:rFonts w:ascii="Times New Roman" w:eastAsia="Times New Roman" w:hAnsi="Times New Roman" w:cs="Times New Roman"/>
      <w:sz w:val="24"/>
      <w:szCs w:val="20"/>
    </w:rPr>
  </w:style>
  <w:style w:type="paragraph" w:customStyle="1" w:styleId="Objective">
    <w:name w:val="Objective"/>
    <w:basedOn w:val="NOTES1A"/>
    <w:rsid w:val="00841121"/>
    <w:pPr>
      <w:ind w:left="432" w:hanging="432"/>
    </w:pPr>
  </w:style>
  <w:style w:type="paragraph" w:customStyle="1" w:styleId="NOTES1A">
    <w:name w:val="NOTES 1.A."/>
    <w:rsid w:val="00841121"/>
    <w:pPr>
      <w:tabs>
        <w:tab w:val="left" w:pos="1560"/>
      </w:tabs>
      <w:spacing w:after="240" w:line="240" w:lineRule="auto"/>
      <w:ind w:left="1915" w:hanging="475"/>
      <w:jc w:val="both"/>
    </w:pPr>
    <w:rPr>
      <w:rFonts w:ascii="Times New Roman" w:eastAsia="Times New Roman" w:hAnsi="Times New Roman" w:cs="Times New Roman"/>
      <w:sz w:val="24"/>
      <w:szCs w:val="20"/>
    </w:rPr>
  </w:style>
  <w:style w:type="paragraph" w:customStyle="1" w:styleId="Signature1">
    <w:name w:val="Signature1"/>
    <w:rsid w:val="00841121"/>
    <w:pPr>
      <w:spacing w:before="720" w:after="480" w:line="240" w:lineRule="auto"/>
    </w:pPr>
    <w:rPr>
      <w:rFonts w:ascii="Times New Roman" w:eastAsia="Times New Roman" w:hAnsi="Times New Roman" w:cs="Times New Roman"/>
      <w:sz w:val="24"/>
      <w:szCs w:val="20"/>
    </w:rPr>
  </w:style>
  <w:style w:type="paragraph" w:customStyle="1" w:styleId="PARAFLUSHUNDER1">
    <w:name w:val="PARA FLUSH UNDER 1."/>
    <w:link w:val="PARAFLUSHUNDER1Char"/>
    <w:rsid w:val="00841121"/>
    <w:pPr>
      <w:spacing w:after="240" w:line="240" w:lineRule="auto"/>
      <w:ind w:left="1440"/>
      <w:jc w:val="both"/>
    </w:pPr>
    <w:rPr>
      <w:rFonts w:ascii="Times New Roman" w:eastAsia="Times New Roman" w:hAnsi="Times New Roman" w:cs="Times New Roman"/>
      <w:sz w:val="24"/>
      <w:szCs w:val="20"/>
    </w:rPr>
  </w:style>
  <w:style w:type="paragraph" w:customStyle="1" w:styleId="PARAFLUSHUNDER1A">
    <w:name w:val="PARA FLUSH UNDER 1.A"/>
    <w:rsid w:val="00841121"/>
    <w:pPr>
      <w:spacing w:after="240" w:line="240" w:lineRule="auto"/>
      <w:ind w:left="1915"/>
      <w:jc w:val="both"/>
    </w:pPr>
    <w:rPr>
      <w:rFonts w:ascii="Times New Roman" w:eastAsia="Times New Roman" w:hAnsi="Times New Roman" w:cs="Times New Roman"/>
      <w:sz w:val="24"/>
      <w:szCs w:val="20"/>
    </w:rPr>
  </w:style>
  <w:style w:type="paragraph" w:customStyle="1" w:styleId="NOTESFIRSTLINE">
    <w:name w:val="NOTES FIRST LINE"/>
    <w:rsid w:val="00841121"/>
    <w:pPr>
      <w:tabs>
        <w:tab w:val="left" w:pos="1080"/>
        <w:tab w:val="left" w:pos="1440"/>
      </w:tabs>
      <w:spacing w:before="240" w:after="240" w:line="240" w:lineRule="auto"/>
    </w:pPr>
    <w:rPr>
      <w:rFonts w:ascii="Times New Roman" w:eastAsia="Times New Roman" w:hAnsi="Times New Roman" w:cs="Times New Roman"/>
      <w:b/>
      <w:smallCaps/>
      <w:sz w:val="24"/>
      <w:szCs w:val="20"/>
    </w:rPr>
  </w:style>
  <w:style w:type="paragraph" w:customStyle="1" w:styleId="Note10">
    <w:name w:val="Note 10"/>
    <w:basedOn w:val="NOTESFIRSTLINE"/>
    <w:rsid w:val="00841121"/>
  </w:style>
  <w:style w:type="paragraph" w:customStyle="1" w:styleId="123bullet">
    <w:name w:val="123bullet"/>
    <w:basedOn w:val="Normal"/>
    <w:rsid w:val="00841121"/>
    <w:pPr>
      <w:spacing w:after="240" w:line="240" w:lineRule="exact"/>
      <w:ind w:left="792" w:hanging="360"/>
      <w:jc w:val="both"/>
    </w:pPr>
    <w:rPr>
      <w:rFonts w:ascii="Univers (W1)" w:eastAsia="Times New Roman" w:hAnsi="Univers (W1)" w:cs="Times New Roman"/>
      <w:sz w:val="20"/>
      <w:szCs w:val="20"/>
    </w:rPr>
  </w:style>
  <w:style w:type="paragraph" w:styleId="FootnoteText">
    <w:name w:val="footnote text"/>
    <w:basedOn w:val="Normal"/>
    <w:link w:val="FootnoteTextChar"/>
    <w:semiHidden/>
    <w:rsid w:val="00841121"/>
    <w:pPr>
      <w:spacing w:after="0" w:line="240" w:lineRule="auto"/>
    </w:pPr>
    <w:rPr>
      <w:rFonts w:ascii="CG Times (W1)" w:eastAsia="Times New Roman" w:hAnsi="CG Times (W1)" w:cs="Times New Roman"/>
      <w:noProof/>
      <w:sz w:val="20"/>
      <w:szCs w:val="20"/>
    </w:rPr>
  </w:style>
  <w:style w:type="character" w:customStyle="1" w:styleId="FootnoteTextChar">
    <w:name w:val="Footnote Text Char"/>
    <w:basedOn w:val="DefaultParagraphFont"/>
    <w:link w:val="FootnoteText"/>
    <w:semiHidden/>
    <w:rsid w:val="00841121"/>
    <w:rPr>
      <w:rFonts w:ascii="CG Times (W1)" w:eastAsia="Times New Roman" w:hAnsi="CG Times (W1)" w:cs="Times New Roman"/>
      <w:noProof/>
      <w:sz w:val="20"/>
      <w:szCs w:val="20"/>
    </w:rPr>
  </w:style>
  <w:style w:type="paragraph" w:customStyle="1" w:styleId="newheading1">
    <w:name w:val="new heading1"/>
    <w:basedOn w:val="Normal"/>
    <w:rsid w:val="00841121"/>
    <w:pPr>
      <w:keepLines/>
      <w:pageBreakBefore/>
      <w:pBdr>
        <w:bottom w:val="single" w:sz="12" w:space="1" w:color="auto"/>
      </w:pBdr>
      <w:spacing w:after="720" w:line="240" w:lineRule="auto"/>
      <w:jc w:val="center"/>
    </w:pPr>
    <w:rPr>
      <w:rFonts w:ascii="Arial" w:eastAsia="Times New Roman" w:hAnsi="Arial" w:cs="Times New Roman"/>
      <w:b/>
      <w:caps/>
      <w:sz w:val="28"/>
      <w:szCs w:val="20"/>
    </w:rPr>
  </w:style>
  <w:style w:type="paragraph" w:customStyle="1" w:styleId="newheading2">
    <w:name w:val="new heading 2"/>
    <w:basedOn w:val="newheading1"/>
    <w:rsid w:val="00841121"/>
    <w:pPr>
      <w:pageBreakBefore w:val="0"/>
      <w:spacing w:before="1200" w:after="480"/>
    </w:pPr>
    <w:rPr>
      <w:sz w:val="24"/>
    </w:rPr>
  </w:style>
  <w:style w:type="paragraph" w:customStyle="1" w:styleId="ABC">
    <w:name w:val="ABC"/>
    <w:rsid w:val="00841121"/>
    <w:pPr>
      <w:spacing w:after="240" w:line="240" w:lineRule="auto"/>
      <w:ind w:left="864" w:hanging="432"/>
    </w:pPr>
    <w:rPr>
      <w:rFonts w:ascii="Times New Roman" w:eastAsia="Times New Roman" w:hAnsi="Times New Roman" w:cs="Times New Roman"/>
      <w:noProof/>
      <w:sz w:val="24"/>
      <w:szCs w:val="20"/>
    </w:rPr>
  </w:style>
  <w:style w:type="paragraph" w:customStyle="1" w:styleId="under123">
    <w:name w:val="under123"/>
    <w:rsid w:val="00841121"/>
    <w:pPr>
      <w:spacing w:after="240" w:line="240" w:lineRule="auto"/>
      <w:ind w:left="432"/>
      <w:jc w:val="both"/>
    </w:pPr>
    <w:rPr>
      <w:rFonts w:ascii="Times New Roman" w:eastAsia="Times New Roman" w:hAnsi="Times New Roman" w:cs="Times New Roman"/>
      <w:noProof/>
      <w:sz w:val="24"/>
      <w:szCs w:val="20"/>
    </w:rPr>
  </w:style>
  <w:style w:type="paragraph" w:customStyle="1" w:styleId="underABC">
    <w:name w:val="underABC"/>
    <w:rsid w:val="00841121"/>
    <w:pPr>
      <w:spacing w:after="240" w:line="240" w:lineRule="auto"/>
      <w:ind w:left="864"/>
      <w:jc w:val="both"/>
    </w:pPr>
    <w:rPr>
      <w:rFonts w:ascii="Times New Roman" w:eastAsia="Times New Roman" w:hAnsi="Times New Roman" w:cs="Times New Roman"/>
      <w:noProof/>
      <w:sz w:val="24"/>
      <w:szCs w:val="20"/>
    </w:rPr>
  </w:style>
  <w:style w:type="character" w:styleId="FootnoteReference">
    <w:name w:val="footnote reference"/>
    <w:rsid w:val="00841121"/>
    <w:rPr>
      <w:vertAlign w:val="superscript"/>
    </w:rPr>
  </w:style>
  <w:style w:type="character" w:customStyle="1" w:styleId="footnoteref">
    <w:name w:val="footnote ref"/>
    <w:rsid w:val="00841121"/>
  </w:style>
  <w:style w:type="paragraph" w:styleId="BodyText">
    <w:name w:val="Body Text"/>
    <w:basedOn w:val="Normal"/>
    <w:link w:val="BodyTextChar"/>
    <w:rsid w:val="00841121"/>
    <w:pPr>
      <w:spacing w:after="12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41121"/>
    <w:rPr>
      <w:rFonts w:ascii="Arial" w:eastAsia="Times New Roman" w:hAnsi="Arial" w:cs="Times New Roman"/>
      <w:sz w:val="20"/>
      <w:szCs w:val="20"/>
    </w:rPr>
  </w:style>
  <w:style w:type="paragraph" w:styleId="BodyText2">
    <w:name w:val="Body Text 2"/>
    <w:basedOn w:val="Normal"/>
    <w:link w:val="BodyText2Char"/>
    <w:rsid w:val="00841121"/>
    <w:pPr>
      <w:spacing w:after="0" w:line="240" w:lineRule="auto"/>
      <w:ind w:left="1296"/>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41121"/>
    <w:rPr>
      <w:rFonts w:ascii="Times New Roman" w:eastAsia="Times New Roman" w:hAnsi="Times New Roman" w:cs="Times New Roman"/>
      <w:sz w:val="20"/>
      <w:szCs w:val="20"/>
    </w:rPr>
  </w:style>
  <w:style w:type="paragraph" w:styleId="BodyTextIndent3">
    <w:name w:val="Body Text Indent 3"/>
    <w:basedOn w:val="Normal"/>
    <w:link w:val="BodyTextIndent3Char"/>
    <w:rsid w:val="00841121"/>
    <w:pPr>
      <w:spacing w:after="0" w:line="240" w:lineRule="auto"/>
      <w:ind w:left="864"/>
    </w:pPr>
    <w:rPr>
      <w:rFonts w:ascii="Times New Roman" w:eastAsia="Times New Roman" w:hAnsi="Times New Roman" w:cs="Times New Roman"/>
      <w:b/>
      <w:i/>
      <w:sz w:val="20"/>
      <w:szCs w:val="20"/>
    </w:rPr>
  </w:style>
  <w:style w:type="character" w:customStyle="1" w:styleId="BodyTextIndent3Char">
    <w:name w:val="Body Text Indent 3 Char"/>
    <w:basedOn w:val="DefaultParagraphFont"/>
    <w:link w:val="BodyTextIndent3"/>
    <w:rsid w:val="00841121"/>
    <w:rPr>
      <w:rFonts w:ascii="Times New Roman" w:eastAsia="Times New Roman" w:hAnsi="Times New Roman" w:cs="Times New Roman"/>
      <w:b/>
      <w:i/>
      <w:sz w:val="20"/>
      <w:szCs w:val="20"/>
    </w:rPr>
  </w:style>
  <w:style w:type="paragraph" w:styleId="Caption">
    <w:name w:val="caption"/>
    <w:basedOn w:val="Normal"/>
    <w:next w:val="Normal"/>
    <w:qFormat/>
    <w:rsid w:val="00841121"/>
    <w:pPr>
      <w:spacing w:before="360" w:after="240" w:line="240" w:lineRule="auto"/>
      <w:jc w:val="center"/>
    </w:pPr>
    <w:rPr>
      <w:rFonts w:ascii="Times New Roman" w:eastAsia="Times New Roman" w:hAnsi="Times New Roman" w:cs="Times New Roman"/>
      <w:b/>
      <w:sz w:val="24"/>
      <w:szCs w:val="20"/>
    </w:rPr>
  </w:style>
  <w:style w:type="paragraph" w:styleId="BodyTextIndent2">
    <w:name w:val="Body Text Indent 2"/>
    <w:basedOn w:val="Normal"/>
    <w:link w:val="BodyTextIndent2Char"/>
    <w:rsid w:val="00841121"/>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41121"/>
    <w:rPr>
      <w:rFonts w:ascii="Times New Roman" w:eastAsia="Times New Roman" w:hAnsi="Times New Roman" w:cs="Times New Roman"/>
      <w:sz w:val="24"/>
      <w:szCs w:val="20"/>
    </w:rPr>
  </w:style>
  <w:style w:type="character" w:styleId="Emphasis">
    <w:name w:val="Emphasis"/>
    <w:qFormat/>
    <w:rsid w:val="00841121"/>
    <w:rPr>
      <w:i/>
    </w:rPr>
  </w:style>
  <w:style w:type="paragraph" w:styleId="BodyText3">
    <w:name w:val="Body Text 3"/>
    <w:basedOn w:val="Normal"/>
    <w:link w:val="BodyText3Char"/>
    <w:rsid w:val="00841121"/>
    <w:pPr>
      <w:pBdr>
        <w:top w:val="single" w:sz="4" w:space="1" w:color="auto"/>
        <w:left w:val="single" w:sz="4" w:space="4" w:color="auto"/>
        <w:bottom w:val="single" w:sz="4" w:space="1" w:color="auto"/>
        <w:right w:val="single" w:sz="4" w:space="4" w:color="auto"/>
      </w:pBdr>
      <w:spacing w:before="360" w:after="0" w:line="240" w:lineRule="auto"/>
      <w:jc w:val="center"/>
    </w:pPr>
    <w:rPr>
      <w:rFonts w:ascii="Times New Roman" w:eastAsia="Times New Roman" w:hAnsi="Times New Roman" w:cs="Times New Roman"/>
      <w:b/>
      <w:i/>
      <w:sz w:val="24"/>
      <w:szCs w:val="20"/>
    </w:rPr>
  </w:style>
  <w:style w:type="character" w:customStyle="1" w:styleId="BodyText3Char">
    <w:name w:val="Body Text 3 Char"/>
    <w:basedOn w:val="DefaultParagraphFont"/>
    <w:link w:val="BodyText3"/>
    <w:rsid w:val="00841121"/>
    <w:rPr>
      <w:rFonts w:ascii="Times New Roman" w:eastAsia="Times New Roman" w:hAnsi="Times New Roman" w:cs="Times New Roman"/>
      <w:b/>
      <w:i/>
      <w:sz w:val="24"/>
      <w:szCs w:val="20"/>
    </w:rPr>
  </w:style>
  <w:style w:type="character" w:styleId="Hyperlink">
    <w:name w:val="Hyperlink"/>
    <w:uiPriority w:val="99"/>
    <w:rsid w:val="00841121"/>
    <w:rPr>
      <w:color w:val="0000FF"/>
      <w:u w:val="single"/>
    </w:rPr>
  </w:style>
  <w:style w:type="paragraph" w:styleId="Title">
    <w:name w:val="Title"/>
    <w:basedOn w:val="Normal"/>
    <w:link w:val="TitleChar"/>
    <w:qFormat/>
    <w:rsid w:val="00841121"/>
    <w:pPr>
      <w:spacing w:after="0" w:line="240" w:lineRule="auto"/>
      <w:jc w:val="center"/>
    </w:pPr>
    <w:rPr>
      <w:rFonts w:ascii="Century Gothic" w:eastAsia="Times New Roman" w:hAnsi="Century Gothic" w:cs="Times New Roman"/>
      <w:sz w:val="24"/>
      <w:szCs w:val="20"/>
    </w:rPr>
  </w:style>
  <w:style w:type="character" w:customStyle="1" w:styleId="TitleChar">
    <w:name w:val="Title Char"/>
    <w:basedOn w:val="DefaultParagraphFont"/>
    <w:link w:val="Title"/>
    <w:rsid w:val="00841121"/>
    <w:rPr>
      <w:rFonts w:ascii="Century Gothic" w:eastAsia="Times New Roman" w:hAnsi="Century Gothic" w:cs="Times New Roman"/>
      <w:sz w:val="24"/>
      <w:szCs w:val="20"/>
    </w:rPr>
  </w:style>
  <w:style w:type="paragraph" w:customStyle="1" w:styleId="1A">
    <w:name w:val="1. A."/>
    <w:rsid w:val="00841121"/>
    <w:pPr>
      <w:tabs>
        <w:tab w:val="left" w:pos="1440"/>
      </w:tabs>
      <w:spacing w:after="240" w:line="240" w:lineRule="exact"/>
      <w:ind w:left="1440" w:hanging="720"/>
      <w:jc w:val="both"/>
    </w:pPr>
    <w:rPr>
      <w:rFonts w:ascii="Bookman" w:eastAsia="Times New Roman" w:hAnsi="Bookman" w:cs="Times New Roman"/>
      <w:sz w:val="24"/>
      <w:szCs w:val="20"/>
    </w:rPr>
  </w:style>
  <w:style w:type="paragraph" w:customStyle="1" w:styleId="Justified">
    <w:name w:val="Justified"/>
    <w:basedOn w:val="Normal"/>
    <w:rsid w:val="00841121"/>
    <w:pPr>
      <w:spacing w:after="240" w:line="240" w:lineRule="exact"/>
      <w:jc w:val="both"/>
    </w:pPr>
    <w:rPr>
      <w:rFonts w:ascii="Times New Roman" w:eastAsia="Times New Roman" w:hAnsi="Times New Roman" w:cs="Times New Roman"/>
      <w:sz w:val="24"/>
      <w:szCs w:val="20"/>
    </w:rPr>
  </w:style>
  <w:style w:type="paragraph" w:customStyle="1" w:styleId="reference">
    <w:name w:val="reference"/>
    <w:basedOn w:val="Normal"/>
    <w:rsid w:val="00841121"/>
    <w:pPr>
      <w:spacing w:before="120" w:after="0" w:line="240" w:lineRule="auto"/>
      <w:jc w:val="center"/>
    </w:pPr>
    <w:rPr>
      <w:rFonts w:ascii="Times New Roman" w:eastAsia="Times New Roman" w:hAnsi="Times New Roman" w:cs="Times New Roman"/>
      <w:sz w:val="18"/>
      <w:szCs w:val="20"/>
    </w:rPr>
  </w:style>
  <w:style w:type="character" w:styleId="CommentReference">
    <w:name w:val="annotation reference"/>
    <w:uiPriority w:val="99"/>
    <w:rsid w:val="00841121"/>
    <w:rPr>
      <w:sz w:val="16"/>
      <w:szCs w:val="16"/>
    </w:rPr>
  </w:style>
  <w:style w:type="paragraph" w:styleId="CommentText">
    <w:name w:val="annotation text"/>
    <w:basedOn w:val="Normal"/>
    <w:link w:val="CommentTextChar"/>
    <w:uiPriority w:val="99"/>
    <w:rsid w:val="008411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41121"/>
    <w:rPr>
      <w:rFonts w:ascii="Times New Roman" w:eastAsia="Times New Roman" w:hAnsi="Times New Roman" w:cs="Times New Roman"/>
      <w:sz w:val="20"/>
      <w:szCs w:val="20"/>
    </w:rPr>
  </w:style>
  <w:style w:type="paragraph" w:customStyle="1" w:styleId="Default">
    <w:name w:val="Default"/>
    <w:rsid w:val="008411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1">
    <w:name w:val="Body Text1"/>
    <w:basedOn w:val="Normal"/>
    <w:rsid w:val="00841121"/>
    <w:pPr>
      <w:spacing w:before="120" w:after="120" w:line="240" w:lineRule="auto"/>
    </w:pPr>
    <w:rPr>
      <w:rFonts w:ascii="Arial" w:eastAsia="Times New Roman" w:hAnsi="Arial" w:cs="Times New Roman"/>
      <w:sz w:val="20"/>
      <w:szCs w:val="20"/>
    </w:rPr>
  </w:style>
  <w:style w:type="paragraph" w:customStyle="1" w:styleId="columnsection">
    <w:name w:val="column section"/>
    <w:basedOn w:val="Normal"/>
    <w:rsid w:val="00841121"/>
    <w:pPr>
      <w:spacing w:before="120" w:after="120" w:line="240" w:lineRule="auto"/>
      <w:ind w:left="475" w:hanging="475"/>
    </w:pPr>
    <w:rPr>
      <w:rFonts w:ascii="Arial" w:eastAsia="Times New Roman" w:hAnsi="Arial" w:cs="Times New Roman"/>
      <w:b/>
      <w:caps/>
      <w:sz w:val="20"/>
      <w:szCs w:val="20"/>
    </w:rPr>
  </w:style>
  <w:style w:type="paragraph" w:styleId="ListNumber">
    <w:name w:val="List Number"/>
    <w:basedOn w:val="List"/>
    <w:rsid w:val="00841121"/>
    <w:pPr>
      <w:spacing w:after="240" w:line="240" w:lineRule="atLeast"/>
      <w:ind w:left="0" w:firstLine="0"/>
      <w:contextualSpacing w:val="0"/>
    </w:pPr>
    <w:rPr>
      <w:rFonts w:ascii="Garamond" w:hAnsi="Garamond"/>
      <w:spacing w:val="-5"/>
      <w:sz w:val="24"/>
    </w:rPr>
  </w:style>
  <w:style w:type="paragraph" w:styleId="List">
    <w:name w:val="List"/>
    <w:basedOn w:val="Normal"/>
    <w:rsid w:val="00841121"/>
    <w:pPr>
      <w:spacing w:after="0" w:line="240" w:lineRule="auto"/>
      <w:ind w:left="360" w:hanging="360"/>
      <w:contextualSpacing/>
    </w:pPr>
    <w:rPr>
      <w:rFonts w:ascii="Univers (W1)" w:eastAsia="Times New Roman" w:hAnsi="Univers (W1)" w:cs="Times New Roman"/>
      <w:sz w:val="20"/>
      <w:szCs w:val="20"/>
    </w:rPr>
  </w:style>
  <w:style w:type="paragraph" w:customStyle="1" w:styleId="NOTESFIRSTLINEBefore12pts">
    <w:name w:val="NOTES FIRST LINE Before 12 pts"/>
    <w:basedOn w:val="NOTESFIRSTLINE"/>
    <w:rsid w:val="00841121"/>
    <w:pPr>
      <w:tabs>
        <w:tab w:val="clear" w:pos="1440"/>
      </w:tabs>
    </w:pPr>
  </w:style>
  <w:style w:type="paragraph" w:customStyle="1" w:styleId="PARAFLUSHUNDER1A0">
    <w:name w:val="PARA FLUSH UNDER 1.A."/>
    <w:rsid w:val="00841121"/>
    <w:pPr>
      <w:spacing w:after="240" w:line="240" w:lineRule="exact"/>
      <w:ind w:left="1560"/>
      <w:jc w:val="both"/>
    </w:pPr>
    <w:rPr>
      <w:rFonts w:ascii="Helvetica" w:eastAsia="Times New Roman" w:hAnsi="Helvetica" w:cs="Times New Roman"/>
      <w:sz w:val="20"/>
      <w:szCs w:val="20"/>
    </w:rPr>
  </w:style>
  <w:style w:type="paragraph" w:styleId="CommentSubject">
    <w:name w:val="annotation subject"/>
    <w:basedOn w:val="CommentText"/>
    <w:next w:val="CommentText"/>
    <w:link w:val="CommentSubjectChar"/>
    <w:rsid w:val="00841121"/>
    <w:rPr>
      <w:rFonts w:ascii="Univers (W1)" w:hAnsi="Univers (W1)"/>
      <w:b/>
      <w:bCs/>
    </w:rPr>
  </w:style>
  <w:style w:type="character" w:customStyle="1" w:styleId="CommentSubjectChar">
    <w:name w:val="Comment Subject Char"/>
    <w:basedOn w:val="CommentTextChar"/>
    <w:link w:val="CommentSubject"/>
    <w:rsid w:val="00841121"/>
    <w:rPr>
      <w:rFonts w:ascii="Univers (W1)" w:eastAsia="Times New Roman" w:hAnsi="Univers (W1)" w:cs="Times New Roman"/>
      <w:b/>
      <w:bCs/>
      <w:sz w:val="20"/>
      <w:szCs w:val="20"/>
    </w:rPr>
  </w:style>
  <w:style w:type="paragraph" w:styleId="Revision">
    <w:name w:val="Revision"/>
    <w:hidden/>
    <w:uiPriority w:val="99"/>
    <w:semiHidden/>
    <w:rsid w:val="00841121"/>
    <w:pPr>
      <w:spacing w:after="0" w:line="240" w:lineRule="auto"/>
    </w:pPr>
    <w:rPr>
      <w:rFonts w:ascii="Univers (W1)" w:eastAsia="Times New Roman" w:hAnsi="Univers (W1)" w:cs="Times New Roman"/>
      <w:sz w:val="20"/>
      <w:szCs w:val="20"/>
    </w:rPr>
  </w:style>
  <w:style w:type="paragraph" w:styleId="ListParagraph">
    <w:name w:val="List Paragraph"/>
    <w:basedOn w:val="Normal"/>
    <w:uiPriority w:val="34"/>
    <w:qFormat/>
    <w:rsid w:val="00841121"/>
    <w:pPr>
      <w:spacing w:after="0" w:line="240" w:lineRule="auto"/>
      <w:ind w:left="720"/>
      <w:contextualSpacing/>
    </w:pPr>
    <w:rPr>
      <w:rFonts w:ascii="Univers (W1)" w:eastAsia="Times New Roman" w:hAnsi="Univers (W1)" w:cs="Times New Roman"/>
      <w:sz w:val="20"/>
      <w:szCs w:val="20"/>
    </w:rPr>
  </w:style>
  <w:style w:type="paragraph" w:customStyle="1" w:styleId="Signature11">
    <w:name w:val="Signature11"/>
    <w:rsid w:val="00841121"/>
    <w:pPr>
      <w:spacing w:before="720" w:after="480" w:line="240" w:lineRule="auto"/>
    </w:pPr>
    <w:rPr>
      <w:rFonts w:ascii="Times New Roman" w:eastAsia="Times New Roman" w:hAnsi="Times New Roman" w:cs="Times New Roman"/>
      <w:sz w:val="24"/>
      <w:szCs w:val="20"/>
    </w:rPr>
  </w:style>
  <w:style w:type="character" w:customStyle="1" w:styleId="PARAFLUSHUNDER1Char">
    <w:name w:val="PARA FLUSH UNDER 1. Char"/>
    <w:link w:val="PARAFLUSHUNDER1"/>
    <w:rsid w:val="00841121"/>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5A31CF"/>
  </w:style>
  <w:style w:type="paragraph" w:customStyle="1" w:styleId="Signature2">
    <w:name w:val="Signature2"/>
    <w:rsid w:val="005A31CF"/>
    <w:pPr>
      <w:spacing w:before="720" w:after="48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7241C"/>
    <w:rPr>
      <w:color w:val="605E5C"/>
      <w:shd w:val="clear" w:color="auto" w:fill="E1DFDD"/>
    </w:rPr>
  </w:style>
  <w:style w:type="paragraph" w:customStyle="1" w:styleId="armleftmargin000">
    <w:name w:val="arm_leftmargin_000"/>
    <w:basedOn w:val="Normal"/>
    <w:rsid w:val="00044B34"/>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package" Target="embeddings/Microsoft_Excel_Worksheet3.xlsx"/><Relationship Id="rId42" Type="http://schemas.openxmlformats.org/officeDocument/2006/relationships/image" Target="media/image15.emf"/><Relationship Id="rId47" Type="http://schemas.openxmlformats.org/officeDocument/2006/relationships/package" Target="embeddings/Microsoft_Excel_Worksheet16.xlsx"/><Relationship Id="rId63" Type="http://schemas.openxmlformats.org/officeDocument/2006/relationships/image" Target="media/image25.emf"/><Relationship Id="rId68" Type="http://schemas.openxmlformats.org/officeDocument/2006/relationships/image" Target="media/image27.emf"/><Relationship Id="rId84" Type="http://schemas.openxmlformats.org/officeDocument/2006/relationships/image" Target="media/image35.emf"/><Relationship Id="rId89" Type="http://schemas.openxmlformats.org/officeDocument/2006/relationships/oleObject" Target="embeddings/Microsoft_Excel_97-2003_Worksheet1.xls"/><Relationship Id="rId16" Type="http://schemas.openxmlformats.org/officeDocument/2006/relationships/hyperlink" Target="https://www.nctreasurer.com/" TargetMode="External"/><Relationship Id="rId11" Type="http://schemas.openxmlformats.org/officeDocument/2006/relationships/image" Target="media/image1.emf"/><Relationship Id="rId32" Type="http://schemas.openxmlformats.org/officeDocument/2006/relationships/image" Target="media/image10.emf"/><Relationship Id="rId37" Type="http://schemas.openxmlformats.org/officeDocument/2006/relationships/package" Target="embeddings/Microsoft_Excel_Worksheet11.xlsx"/><Relationship Id="rId53" Type="http://schemas.openxmlformats.org/officeDocument/2006/relationships/package" Target="embeddings/Microsoft_Excel_Worksheet19.xlsx"/><Relationship Id="rId58" Type="http://schemas.openxmlformats.org/officeDocument/2006/relationships/package" Target="embeddings/Microsoft_Excel_Worksheet21.xlsx"/><Relationship Id="rId74" Type="http://schemas.openxmlformats.org/officeDocument/2006/relationships/image" Target="media/image30.emf"/><Relationship Id="rId79" Type="http://schemas.openxmlformats.org/officeDocument/2006/relationships/package" Target="embeddings/Microsoft_Excel_Worksheet31.xlsx"/><Relationship Id="rId5" Type="http://schemas.openxmlformats.org/officeDocument/2006/relationships/numbering" Target="numbering.xml"/><Relationship Id="rId90" Type="http://schemas.openxmlformats.org/officeDocument/2006/relationships/image" Target="media/image38.emf"/><Relationship Id="rId95"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package" Target="embeddings/Microsoft_Excel_Worksheet6.xlsx"/><Relationship Id="rId43" Type="http://schemas.openxmlformats.org/officeDocument/2006/relationships/package" Target="embeddings/Microsoft_Excel_Worksheet14.xlsx"/><Relationship Id="rId48" Type="http://schemas.openxmlformats.org/officeDocument/2006/relationships/image" Target="media/image18.emf"/><Relationship Id="rId64" Type="http://schemas.openxmlformats.org/officeDocument/2006/relationships/package" Target="embeddings/Microsoft_Excel_Worksheet24.xlsx"/><Relationship Id="rId69" Type="http://schemas.openxmlformats.org/officeDocument/2006/relationships/package" Target="embeddings/Microsoft_Excel_Worksheet26.xlsx"/><Relationship Id="rId80" Type="http://schemas.openxmlformats.org/officeDocument/2006/relationships/image" Target="media/image33.emf"/><Relationship Id="rId85" Type="http://schemas.openxmlformats.org/officeDocument/2006/relationships/package" Target="embeddings/Microsoft_Excel_Worksheet33.xlsx"/><Relationship Id="rId3" Type="http://schemas.openxmlformats.org/officeDocument/2006/relationships/customXml" Target="../customXml/item3.xml"/><Relationship Id="rId12" Type="http://schemas.openxmlformats.org/officeDocument/2006/relationships/package" Target="embeddings/Microsoft_Excel_Worksheet.xlsx"/><Relationship Id="rId17" Type="http://schemas.openxmlformats.org/officeDocument/2006/relationships/hyperlink" Target="https://www.nctreasurer.com/" TargetMode="External"/><Relationship Id="rId25" Type="http://schemas.openxmlformats.org/officeDocument/2006/relationships/package" Target="embeddings/Microsoft_Excel_Worksheet5.xlsx"/><Relationship Id="rId33" Type="http://schemas.openxmlformats.org/officeDocument/2006/relationships/package" Target="embeddings/Microsoft_Excel_Worksheet9.xlsx"/><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image" Target="media/image23.emf"/><Relationship Id="rId67" Type="http://schemas.openxmlformats.org/officeDocument/2006/relationships/package" Target="embeddings/Microsoft_Excel_Worksheet25.xlsx"/><Relationship Id="rId20" Type="http://schemas.openxmlformats.org/officeDocument/2006/relationships/image" Target="media/image4.emf"/><Relationship Id="rId41" Type="http://schemas.openxmlformats.org/officeDocument/2006/relationships/package" Target="embeddings/Microsoft_Excel_Worksheet13.xlsx"/><Relationship Id="rId54" Type="http://schemas.openxmlformats.org/officeDocument/2006/relationships/hyperlink" Target="https://www.osc.nc.gov/" TargetMode="External"/><Relationship Id="rId62" Type="http://schemas.openxmlformats.org/officeDocument/2006/relationships/package" Target="embeddings/Microsoft_Excel_Worksheet23.xlsx"/><Relationship Id="rId70" Type="http://schemas.openxmlformats.org/officeDocument/2006/relationships/image" Target="media/image28.emf"/><Relationship Id="rId75" Type="http://schemas.openxmlformats.org/officeDocument/2006/relationships/package" Target="embeddings/Microsoft_Excel_Worksheet29.xlsx"/><Relationship Id="rId83" Type="http://schemas.openxmlformats.org/officeDocument/2006/relationships/oleObject" Target="embeddings/Microsoft_Excel_97-2003_Worksheet.xls"/><Relationship Id="rId88" Type="http://schemas.openxmlformats.org/officeDocument/2006/relationships/image" Target="media/image37.emf"/><Relationship Id="rId91" Type="http://schemas.openxmlformats.org/officeDocument/2006/relationships/package" Target="embeddings/Microsoft_Excel_Worksheet35.xlsx"/><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Excel_Worksheet1.xlsx"/><Relationship Id="rId23" Type="http://schemas.openxmlformats.org/officeDocument/2006/relationships/package" Target="embeddings/Microsoft_Excel_Worksheet4.xls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Excel_Worksheet17.xlsx"/><Relationship Id="rId57" Type="http://schemas.openxmlformats.org/officeDocument/2006/relationships/image" Target="media/image22.emf"/><Relationship Id="rId10" Type="http://schemas.openxmlformats.org/officeDocument/2006/relationships/endnotes" Target="endnotes.xml"/><Relationship Id="rId31" Type="http://schemas.openxmlformats.org/officeDocument/2006/relationships/package" Target="embeddings/Microsoft_Excel_Worksheet8.xls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package" Target="embeddings/Microsoft_Excel_Worksheet22.xlsx"/><Relationship Id="rId65" Type="http://schemas.openxmlformats.org/officeDocument/2006/relationships/hyperlink" Target="https://www.osc.nc.gov/" TargetMode="External"/><Relationship Id="rId73" Type="http://schemas.openxmlformats.org/officeDocument/2006/relationships/package" Target="embeddings/Microsoft_Excel_Worksheet28.xlsx"/><Relationship Id="rId78" Type="http://schemas.openxmlformats.org/officeDocument/2006/relationships/image" Target="media/image32.emf"/><Relationship Id="rId81" Type="http://schemas.openxmlformats.org/officeDocument/2006/relationships/package" Target="embeddings/Microsoft_Excel_Worksheet32.xlsx"/><Relationship Id="rId86" Type="http://schemas.openxmlformats.org/officeDocument/2006/relationships/image" Target="media/image36.emf"/><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ctreasurer.com/" TargetMode="External"/><Relationship Id="rId18" Type="http://schemas.openxmlformats.org/officeDocument/2006/relationships/image" Target="media/image3.emf"/><Relationship Id="rId39" Type="http://schemas.openxmlformats.org/officeDocument/2006/relationships/package" Target="embeddings/Microsoft_Excel_Worksheet12.xlsx"/><Relationship Id="rId34" Type="http://schemas.openxmlformats.org/officeDocument/2006/relationships/image" Target="media/image11.emf"/><Relationship Id="rId50" Type="http://schemas.openxmlformats.org/officeDocument/2006/relationships/image" Target="media/image19.emf"/><Relationship Id="rId55" Type="http://schemas.openxmlformats.org/officeDocument/2006/relationships/image" Target="media/image21.emf"/><Relationship Id="rId76" Type="http://schemas.openxmlformats.org/officeDocument/2006/relationships/image" Target="media/image31.emf"/><Relationship Id="rId97"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package" Target="embeddings/Microsoft_Excel_Worksheet27.xlsx"/><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package" Target="embeddings/Microsoft_Excel_Worksheet7.xlsx"/><Relationship Id="rId24" Type="http://schemas.openxmlformats.org/officeDocument/2006/relationships/image" Target="media/image6.emf"/><Relationship Id="rId40" Type="http://schemas.openxmlformats.org/officeDocument/2006/relationships/image" Target="media/image14.emf"/><Relationship Id="rId45" Type="http://schemas.openxmlformats.org/officeDocument/2006/relationships/package" Target="embeddings/Microsoft_Excel_Worksheet15.xlsx"/><Relationship Id="rId66" Type="http://schemas.openxmlformats.org/officeDocument/2006/relationships/image" Target="media/image26.emf"/><Relationship Id="rId87" Type="http://schemas.openxmlformats.org/officeDocument/2006/relationships/package" Target="embeddings/Microsoft_Excel_Worksheet34.xlsx"/><Relationship Id="rId61" Type="http://schemas.openxmlformats.org/officeDocument/2006/relationships/image" Target="media/image24.emf"/><Relationship Id="rId82" Type="http://schemas.openxmlformats.org/officeDocument/2006/relationships/image" Target="media/image34.emf"/><Relationship Id="rId19" Type="http://schemas.openxmlformats.org/officeDocument/2006/relationships/package" Target="embeddings/Microsoft_Excel_Worksheet2.xlsx"/><Relationship Id="rId14" Type="http://schemas.openxmlformats.org/officeDocument/2006/relationships/image" Target="media/image2.emf"/><Relationship Id="rId30" Type="http://schemas.openxmlformats.org/officeDocument/2006/relationships/image" Target="media/image9.emf"/><Relationship Id="rId35" Type="http://schemas.openxmlformats.org/officeDocument/2006/relationships/package" Target="embeddings/Microsoft_Excel_Worksheet10.xlsx"/><Relationship Id="rId56" Type="http://schemas.openxmlformats.org/officeDocument/2006/relationships/package" Target="embeddings/Microsoft_Excel_Worksheet20.xlsx"/><Relationship Id="rId77" Type="http://schemas.openxmlformats.org/officeDocument/2006/relationships/package" Target="embeddings/Microsoft_Excel_Worksheet30.xlsx"/><Relationship Id="rId8" Type="http://schemas.openxmlformats.org/officeDocument/2006/relationships/webSettings" Target="webSettings.xml"/><Relationship Id="rId51" Type="http://schemas.openxmlformats.org/officeDocument/2006/relationships/package" Target="embeddings/Microsoft_Excel_Worksheet18.xlsx"/><Relationship Id="rId72" Type="http://schemas.openxmlformats.org/officeDocument/2006/relationships/image" Target="media/image29.emf"/><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DAD42F46CBA4198FB73006EE901A8" ma:contentTypeVersion="0" ma:contentTypeDescription="Create a new document." ma:contentTypeScope="" ma:versionID="53f6864e294032e01841a65fcf08bd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99AC0-0AE6-4618-B4EF-7BDE6009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139E32-5CEC-40F4-B8FD-CE68B7D7A7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43ED3C-BA79-465F-8B5D-B94D45DDA04F}">
  <ds:schemaRefs>
    <ds:schemaRef ds:uri="http://schemas.microsoft.com/sharepoint/v3/contenttype/forms"/>
  </ds:schemaRefs>
</ds:datastoreItem>
</file>

<file path=customXml/itemProps4.xml><?xml version="1.0" encoding="utf-8"?>
<ds:datastoreItem xmlns:ds="http://schemas.openxmlformats.org/officeDocument/2006/customXml" ds:itemID="{A4E915D8-2D21-4826-8B28-6C154175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52</Pages>
  <Words>18031</Words>
  <Characters>102782</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Rogers</dc:creator>
  <cp:keywords/>
  <dc:description/>
  <cp:lastModifiedBy>Zach Rogers</cp:lastModifiedBy>
  <cp:revision>173</cp:revision>
  <cp:lastPrinted>2019-08-06T19:39:00Z</cp:lastPrinted>
  <dcterms:created xsi:type="dcterms:W3CDTF">2018-09-13T17:20:00Z</dcterms:created>
  <dcterms:modified xsi:type="dcterms:W3CDTF">2022-08-09T16:26:00Z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0x010100BF1DAD42F46CBA4198FB73006EE901A8</vt:lpwstr>
  </op:property>
  <op:property fmtid="{D5CDD505-2E9C-101B-9397-08002B2CF9AE}" pid="3" name="Version">
    <vt:i4>20</vt:i4>
  </op:property>
  <op:property fmtid="{D5CDD505-2E9C-101B-9397-08002B2CF9AE}" pid="4" name="tabName">
    <vt:lpwstr>Report Preparation</vt:lpwstr>
  </op:property>
  <op:property fmtid="{D5CDD505-2E9C-101B-9397-08002B2CF9AE}" pid="5" name="tabIndex">
    <vt:lpwstr>0103</vt:lpwstr>
  </op:property>
  <op:property fmtid="{D5CDD505-2E9C-101B-9397-08002B2CF9AE}" pid="6" name="workpaperIndex">
    <vt:lpwstr>103.20b</vt:lpwstr>
  </op:property>
</op:Properties>
</file>