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47DCE" w14:textId="08FF52DC" w:rsidR="001F2102" w:rsidRPr="00E039B2" w:rsidRDefault="001F2102" w:rsidP="00284B00">
      <w:pPr>
        <w:spacing w:after="0" w:line="240" w:lineRule="auto"/>
        <w:jc w:val="both"/>
        <w:rPr>
          <w:rFonts w:ascii="Arial" w:eastAsia="Times New Roman" w:hAnsi="Arial" w:cs="Arial"/>
          <w:b/>
          <w:i/>
          <w:color w:val="0000FF"/>
        </w:rPr>
      </w:pPr>
      <w:bookmarkStart w:id="0" w:name="_MON_1402750698"/>
      <w:bookmarkEnd w:id="0"/>
      <w:r w:rsidRPr="00E039B2">
        <w:rPr>
          <w:rFonts w:ascii="Arial" w:eastAsia="Times New Roman" w:hAnsi="Arial" w:cs="Arial"/>
          <w:b/>
          <w:i/>
          <w:color w:val="0000FF"/>
        </w:rPr>
        <w:t xml:space="preserve">Disclaimer: The </w:t>
      </w:r>
      <w:r w:rsidR="000E6513" w:rsidRPr="00E039B2">
        <w:rPr>
          <w:rFonts w:ascii="Arial" w:eastAsia="Times New Roman" w:hAnsi="Arial" w:cs="Arial"/>
          <w:b/>
          <w:i/>
          <w:color w:val="0000FF"/>
        </w:rPr>
        <w:t>Agency</w:t>
      </w:r>
      <w:r w:rsidRPr="00E039B2">
        <w:rPr>
          <w:rFonts w:ascii="Arial" w:eastAsia="Times New Roman" w:hAnsi="Arial" w:cs="Arial"/>
          <w:b/>
          <w:i/>
          <w:color w:val="0000FF"/>
        </w:rPr>
        <w:t xml:space="preserve"> pro forma is designed as a guide for the most common scenarios encountered by </w:t>
      </w:r>
      <w:r w:rsidR="000E6513" w:rsidRPr="00E039B2">
        <w:rPr>
          <w:rFonts w:ascii="Arial" w:eastAsia="Times New Roman" w:hAnsi="Arial" w:cs="Arial"/>
          <w:b/>
          <w:i/>
          <w:color w:val="0000FF"/>
        </w:rPr>
        <w:t>Agencies</w:t>
      </w:r>
      <w:r w:rsidRPr="00E039B2">
        <w:rPr>
          <w:rFonts w:ascii="Arial" w:eastAsia="Times New Roman" w:hAnsi="Arial" w:cs="Arial"/>
          <w:b/>
          <w:i/>
          <w:color w:val="0000FF"/>
        </w:rPr>
        <w:t>; however, financial reporting responsibility rests solely with the preparer.</w:t>
      </w:r>
    </w:p>
    <w:p w14:paraId="148B22F4" w14:textId="78AE1F21" w:rsidR="001F2102" w:rsidRPr="00E039B2" w:rsidRDefault="001F2102" w:rsidP="00284B00">
      <w:pPr>
        <w:tabs>
          <w:tab w:val="left" w:pos="288"/>
          <w:tab w:val="right" w:leader="dot" w:pos="8928"/>
        </w:tabs>
        <w:spacing w:after="240" w:line="240" w:lineRule="auto"/>
        <w:jc w:val="both"/>
        <w:rPr>
          <w:rFonts w:ascii="Arial" w:eastAsia="Times New Roman" w:hAnsi="Arial" w:cs="Arial"/>
          <w:b/>
          <w:i/>
          <w:color w:val="0000FF"/>
        </w:rPr>
      </w:pPr>
      <w:r w:rsidRPr="00E039B2">
        <w:rPr>
          <w:rFonts w:ascii="Arial" w:eastAsia="Times New Roman" w:hAnsi="Arial" w:cs="Arial"/>
          <w:b/>
          <w:i/>
          <w:color w:val="0000FF"/>
        </w:rPr>
        <w:t xml:space="preserve">[Note to Preparer: If preparing rounded statements </w:t>
      </w:r>
      <w:r w:rsidRPr="00E039B2">
        <w:rPr>
          <w:rFonts w:ascii="Arial" w:eastAsia="Times New Roman" w:hAnsi="Arial" w:cs="Arial"/>
          <w:b/>
          <w:i/>
          <w:color w:val="FF0000"/>
          <w:u w:val="single"/>
        </w:rPr>
        <w:t>ensure that all cents are removed from cell values entirely</w:t>
      </w:r>
      <w:r w:rsidRPr="00E039B2">
        <w:rPr>
          <w:rFonts w:ascii="Arial" w:eastAsia="Times New Roman" w:hAnsi="Arial" w:cs="Arial"/>
          <w:b/>
          <w:i/>
          <w:color w:val="0000FF"/>
        </w:rPr>
        <w:t xml:space="preserve"> (i.e. do not just </w:t>
      </w:r>
      <w:r w:rsidR="00FB7671" w:rsidRPr="00E039B2">
        <w:rPr>
          <w:rFonts w:ascii="Arial" w:eastAsia="Times New Roman" w:hAnsi="Arial" w:cs="Arial"/>
          <w:b/>
          <w:i/>
          <w:color w:val="0000FF"/>
        </w:rPr>
        <w:t xml:space="preserve">hide </w:t>
      </w:r>
      <w:r w:rsidRPr="00E039B2">
        <w:rPr>
          <w:rFonts w:ascii="Arial" w:eastAsia="Times New Roman" w:hAnsi="Arial" w:cs="Arial"/>
          <w:b/>
          <w:i/>
          <w:color w:val="0000FF"/>
        </w:rPr>
        <w:t>cents via cell formatting) to ensure charts will properly foot and crossfoot.]</w:t>
      </w:r>
    </w:p>
    <w:p w14:paraId="50DB3D40" w14:textId="5F51174D" w:rsidR="00966C79" w:rsidRPr="00E039B2" w:rsidRDefault="00966C79" w:rsidP="00966C79">
      <w:pPr>
        <w:tabs>
          <w:tab w:val="left" w:pos="1080"/>
        </w:tabs>
        <w:spacing w:after="240" w:line="240" w:lineRule="auto"/>
        <w:rPr>
          <w:rFonts w:ascii="Arial" w:eastAsia="Times New Roman" w:hAnsi="Arial" w:cs="Arial"/>
          <w:b/>
          <w:smallCaps/>
        </w:rPr>
      </w:pPr>
      <w:bookmarkStart w:id="1" w:name="Note"/>
      <w:bookmarkStart w:id="2" w:name="Note_1"/>
      <w:r w:rsidRPr="00E039B2">
        <w:rPr>
          <w:rFonts w:ascii="Arial" w:eastAsia="Times New Roman" w:hAnsi="Arial" w:cs="Arial"/>
          <w:b/>
          <w:smallCaps/>
        </w:rPr>
        <w:t>Note 1</w:t>
      </w:r>
      <w:r w:rsidRPr="00E039B2">
        <w:rPr>
          <w:rFonts w:ascii="Arial" w:eastAsia="Times New Roman" w:hAnsi="Arial" w:cs="Arial"/>
          <w:b/>
          <w:smallCaps/>
        </w:rPr>
        <w:tab/>
        <w:t>-</w:t>
      </w:r>
      <w:r w:rsidRPr="00E039B2">
        <w:rPr>
          <w:rFonts w:ascii="Arial" w:eastAsia="Times New Roman" w:hAnsi="Arial" w:cs="Arial"/>
          <w:b/>
          <w:smallCaps/>
        </w:rPr>
        <w:tab/>
        <w:t>Significant Accounting Policies</w:t>
      </w:r>
      <w:bookmarkEnd w:id="1"/>
    </w:p>
    <w:bookmarkEnd w:id="2"/>
    <w:p w14:paraId="05C9AFBF" w14:textId="77777777" w:rsidR="00966C79" w:rsidRPr="00E039B2" w:rsidRDefault="00966C79" w:rsidP="00966C79">
      <w:pPr>
        <w:numPr>
          <w:ilvl w:val="0"/>
          <w:numId w:val="27"/>
        </w:numPr>
        <w:tabs>
          <w:tab w:val="left" w:pos="1560"/>
        </w:tabs>
        <w:spacing w:after="240" w:line="240" w:lineRule="auto"/>
        <w:ind w:left="1915"/>
        <w:jc w:val="both"/>
        <w:rPr>
          <w:rFonts w:ascii="Arial" w:eastAsia="Times New Roman" w:hAnsi="Arial" w:cs="Arial"/>
        </w:rPr>
      </w:pPr>
      <w:r w:rsidRPr="00E039B2">
        <w:rPr>
          <w:rFonts w:ascii="Arial" w:eastAsia="Times New Roman" w:hAnsi="Arial" w:cs="Arial"/>
          <w:b/>
        </w:rPr>
        <w:t xml:space="preserve">Organization </w:t>
      </w:r>
      <w:r w:rsidRPr="00E039B2">
        <w:rPr>
          <w:rFonts w:ascii="Arial" w:eastAsia="Times New Roman" w:hAnsi="Arial" w:cs="Arial"/>
        </w:rPr>
        <w:t xml:space="preserve">- The North Carolina Department of </w:t>
      </w:r>
      <w:r w:rsidRPr="00E039B2">
        <w:rPr>
          <w:rFonts w:ascii="Arial" w:eastAsia="Times New Roman" w:hAnsi="Arial" w:cs="Arial"/>
          <w:color w:val="0000FF"/>
        </w:rPr>
        <w:t>[XYZ]</w:t>
      </w:r>
      <w:r w:rsidRPr="00E039B2">
        <w:rPr>
          <w:rFonts w:ascii="Arial" w:eastAsia="Times New Roman" w:hAnsi="Arial" w:cs="Arial"/>
        </w:rPr>
        <w:t xml:space="preserve"> (Department) is a part of the State of North Carolina and is not a separate legal </w:t>
      </w:r>
      <w:r w:rsidRPr="00E039B2">
        <w:rPr>
          <w:rFonts w:ascii="Arial" w:eastAsia="Times New Roman" w:hAnsi="Arial" w:cs="Arial"/>
          <w:highlight w:val="yellow"/>
        </w:rPr>
        <w:t>or reporting</w:t>
      </w:r>
      <w:r w:rsidRPr="00E039B2">
        <w:rPr>
          <w:rFonts w:ascii="Arial" w:eastAsia="Times New Roman" w:hAnsi="Arial" w:cs="Arial"/>
        </w:rPr>
        <w:t xml:space="preserve"> entity. The Department is charged with </w:t>
      </w:r>
      <w:r w:rsidRPr="00E039B2">
        <w:rPr>
          <w:rFonts w:ascii="Arial" w:eastAsia="Times New Roman" w:hAnsi="Arial" w:cs="Arial"/>
          <w:color w:val="0000FF"/>
        </w:rPr>
        <w:t>[describe purpose and responsibilities]</w:t>
      </w:r>
      <w:r w:rsidRPr="00E039B2">
        <w:rPr>
          <w:rFonts w:ascii="Arial" w:eastAsia="Times New Roman" w:hAnsi="Arial" w:cs="Arial"/>
        </w:rPr>
        <w:t xml:space="preserve">. The operations of the Department are led by the </w:t>
      </w:r>
      <w:r w:rsidRPr="00E039B2">
        <w:rPr>
          <w:rFonts w:ascii="Arial" w:eastAsia="Times New Roman" w:hAnsi="Arial" w:cs="Arial"/>
          <w:color w:val="0000FF"/>
        </w:rPr>
        <w:t>[Secretary of XYZ]</w:t>
      </w:r>
      <w:r w:rsidRPr="00E039B2">
        <w:rPr>
          <w:rFonts w:ascii="Arial" w:eastAsia="Times New Roman" w:hAnsi="Arial" w:cs="Arial"/>
        </w:rPr>
        <w:t xml:space="preserve">, a member of the Governor’s cabinet. </w:t>
      </w:r>
      <w:r w:rsidRPr="00E039B2">
        <w:rPr>
          <w:rFonts w:ascii="Arial" w:eastAsia="Times New Roman" w:hAnsi="Arial" w:cs="Arial"/>
          <w:b/>
          <w:i/>
          <w:color w:val="0000FF"/>
        </w:rPr>
        <w:t>[Modify last sentence as necessary.]</w:t>
      </w:r>
    </w:p>
    <w:p w14:paraId="2567F0A7" w14:textId="77777777" w:rsidR="00966C79" w:rsidRPr="00E039B2" w:rsidRDefault="00966C79" w:rsidP="00966C79">
      <w:pPr>
        <w:tabs>
          <w:tab w:val="left" w:pos="1560"/>
        </w:tabs>
        <w:spacing w:after="240" w:line="240" w:lineRule="auto"/>
        <w:ind w:left="1920"/>
        <w:jc w:val="both"/>
        <w:rPr>
          <w:rFonts w:ascii="Arial" w:eastAsia="Times New Roman" w:hAnsi="Arial" w:cs="Arial"/>
          <w:b/>
          <w:i/>
          <w:color w:val="0000FF"/>
        </w:rPr>
      </w:pPr>
      <w:r w:rsidRPr="00E039B2">
        <w:rPr>
          <w:rFonts w:ascii="Arial" w:eastAsia="Times New Roman" w:hAnsi="Arial" w:cs="Arial"/>
          <w:b/>
          <w:i/>
          <w:color w:val="0000FF"/>
        </w:rPr>
        <w:t>[Modify as necessary to include additional entity information.]</w:t>
      </w:r>
    </w:p>
    <w:p w14:paraId="1F880E56" w14:textId="77777777" w:rsidR="00966C79" w:rsidRPr="00E039B2" w:rsidRDefault="00966C79" w:rsidP="00966C79">
      <w:pPr>
        <w:numPr>
          <w:ilvl w:val="0"/>
          <w:numId w:val="27"/>
        </w:numPr>
        <w:tabs>
          <w:tab w:val="left" w:pos="1560"/>
        </w:tabs>
        <w:spacing w:after="240" w:line="240" w:lineRule="auto"/>
        <w:ind w:left="1915"/>
        <w:jc w:val="both"/>
        <w:rPr>
          <w:rFonts w:ascii="Arial" w:eastAsia="Times New Roman" w:hAnsi="Arial" w:cs="Arial"/>
          <w:i/>
        </w:rPr>
      </w:pPr>
      <w:r w:rsidRPr="00E039B2">
        <w:rPr>
          <w:rFonts w:ascii="Arial" w:eastAsia="Times New Roman" w:hAnsi="Arial" w:cs="Arial"/>
          <w:b/>
        </w:rPr>
        <w:t xml:space="preserve">Financial Reporting Entity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The Department is a part of the State of North Carolina and an integral part of the State’s </w:t>
      </w:r>
      <w:r w:rsidRPr="00E039B2">
        <w:rPr>
          <w:rFonts w:ascii="Arial" w:eastAsia="Times New Roman" w:hAnsi="Arial" w:cs="Arial"/>
          <w:i/>
        </w:rPr>
        <w:t>Comprehensive Annual Financial Report</w:t>
      </w:r>
      <w:r w:rsidRPr="00E039B2">
        <w:rPr>
          <w:rFonts w:ascii="Arial" w:eastAsia="Times New Roman" w:hAnsi="Arial" w:cs="Arial"/>
        </w:rPr>
        <w:t>.</w:t>
      </w:r>
    </w:p>
    <w:p w14:paraId="419AC0A6" w14:textId="77777777" w:rsidR="00966C79" w:rsidRPr="00E039B2" w:rsidRDefault="00966C79" w:rsidP="00966C79">
      <w:pPr>
        <w:tabs>
          <w:tab w:val="left" w:pos="1560"/>
        </w:tabs>
        <w:spacing w:after="240" w:line="240" w:lineRule="auto"/>
        <w:ind w:left="1915"/>
        <w:jc w:val="both"/>
        <w:rPr>
          <w:rFonts w:ascii="Arial" w:eastAsia="Times New Roman" w:hAnsi="Arial" w:cs="Arial"/>
        </w:rPr>
      </w:pPr>
      <w:r w:rsidRPr="00E039B2">
        <w:rPr>
          <w:rFonts w:ascii="Arial" w:eastAsia="Times New Roman" w:hAnsi="Arial" w:cs="Arial"/>
        </w:rPr>
        <w:t xml:space="preserve">The accompanying financial statements present all funds belonging to the Department </w:t>
      </w:r>
      <w:r w:rsidRPr="00E039B2">
        <w:rPr>
          <w:rFonts w:ascii="Arial" w:eastAsia="Times New Roman" w:hAnsi="Arial" w:cs="Arial"/>
          <w:color w:val="0000FF"/>
        </w:rPr>
        <w:t>[and its component units]</w:t>
      </w:r>
      <w:r w:rsidRPr="00E039B2">
        <w:rPr>
          <w:rFonts w:ascii="Arial" w:eastAsia="Times New Roman" w:hAnsi="Arial" w:cs="Arial"/>
        </w:rPr>
        <w:t xml:space="preserve">. The Department’s accounts and transactions are included in the State’s </w:t>
      </w:r>
      <w:r w:rsidRPr="00E039B2">
        <w:rPr>
          <w:rFonts w:ascii="Arial" w:eastAsia="Times New Roman" w:hAnsi="Arial" w:cs="Arial"/>
          <w:i/>
        </w:rPr>
        <w:t>Comprehensive Annual Financial Report</w:t>
      </w:r>
      <w:r w:rsidRPr="00E039B2">
        <w:rPr>
          <w:rFonts w:ascii="Arial" w:eastAsia="Times New Roman" w:hAnsi="Arial" w:cs="Arial"/>
        </w:rPr>
        <w:t xml:space="preserve"> as part of the State’s governmental funds </w:t>
      </w:r>
      <w:r w:rsidRPr="00E039B2">
        <w:rPr>
          <w:rFonts w:ascii="Arial" w:eastAsia="Times New Roman" w:hAnsi="Arial" w:cs="Arial"/>
          <w:color w:val="0000FF"/>
        </w:rPr>
        <w:t>[, proprietary funds, fiduciary funds, and component units]</w:t>
      </w:r>
      <w:r w:rsidRPr="00E039B2">
        <w:rPr>
          <w:rFonts w:ascii="Arial" w:eastAsia="Times New Roman" w:hAnsi="Arial" w:cs="Arial"/>
        </w:rPr>
        <w:t xml:space="preserve">. </w:t>
      </w:r>
      <w:r w:rsidRPr="00E039B2">
        <w:rPr>
          <w:rFonts w:ascii="Arial" w:eastAsia="Times New Roman" w:hAnsi="Arial" w:cs="Arial"/>
          <w:b/>
          <w:i/>
          <w:color w:val="0000FF"/>
        </w:rPr>
        <w:t>[Modify paragraph as necessary.]</w:t>
      </w:r>
    </w:p>
    <w:p w14:paraId="68DD7E1D" w14:textId="77777777" w:rsidR="00966C79" w:rsidRPr="00E039B2" w:rsidRDefault="00966C79" w:rsidP="00966C79">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 xml:space="preserve">[Include paragraph below if certain funds issue </w:t>
      </w:r>
      <w:proofErr w:type="gramStart"/>
      <w:r w:rsidRPr="00E039B2">
        <w:rPr>
          <w:rFonts w:ascii="Arial" w:eastAsia="Times New Roman" w:hAnsi="Arial" w:cs="Arial"/>
          <w:b/>
          <w:i/>
          <w:color w:val="0000FF"/>
        </w:rPr>
        <w:t>separate</w:t>
      </w:r>
      <w:proofErr w:type="gramEnd"/>
      <w:r w:rsidRPr="00E039B2">
        <w:rPr>
          <w:rFonts w:ascii="Arial" w:eastAsia="Times New Roman" w:hAnsi="Arial" w:cs="Arial"/>
          <w:b/>
          <w:i/>
          <w:color w:val="0000FF"/>
        </w:rPr>
        <w:t xml:space="preserve"> financial statements - delete if not applicable]  </w:t>
      </w:r>
    </w:p>
    <w:p w14:paraId="143C0843" w14:textId="77777777" w:rsidR="00966C79" w:rsidRPr="00E039B2" w:rsidRDefault="00966C79" w:rsidP="00966C79">
      <w:pPr>
        <w:tabs>
          <w:tab w:val="left" w:pos="1560"/>
        </w:tabs>
        <w:spacing w:after="240" w:line="240" w:lineRule="auto"/>
        <w:ind w:left="1915"/>
        <w:jc w:val="both"/>
        <w:rPr>
          <w:rFonts w:ascii="Arial" w:eastAsia="Times New Roman" w:hAnsi="Arial" w:cs="Arial"/>
        </w:rPr>
      </w:pPr>
      <w:r w:rsidRPr="00E039B2">
        <w:rPr>
          <w:rFonts w:ascii="Arial" w:eastAsia="Times New Roman" w:hAnsi="Arial" w:cs="Arial"/>
        </w:rPr>
        <w:t xml:space="preserve">Complete financial statements for </w:t>
      </w:r>
      <w:r w:rsidRPr="00E039B2">
        <w:rPr>
          <w:rFonts w:ascii="Arial" w:eastAsia="Times New Roman" w:hAnsi="Arial" w:cs="Arial"/>
          <w:color w:val="0000FF"/>
        </w:rPr>
        <w:t>[Fund Name]</w:t>
      </w:r>
      <w:r w:rsidRPr="00E039B2">
        <w:rPr>
          <w:rFonts w:ascii="Arial" w:eastAsia="Times New Roman" w:hAnsi="Arial" w:cs="Arial"/>
        </w:rPr>
        <w:t xml:space="preserve">, which are included the Department’s financial statements, may be obtained from the </w:t>
      </w:r>
      <w:r w:rsidRPr="00E039B2">
        <w:rPr>
          <w:rFonts w:ascii="Arial" w:eastAsia="Times New Roman" w:hAnsi="Arial" w:cs="Arial"/>
          <w:color w:val="0000FF"/>
        </w:rPr>
        <w:t>[Office of the State Auditor, 2 South Salisbury Street, 20601 Mail Service Center, Raleigh, N.C. 27699-0600 or can be accessed from the Office of State Auditor website at https://www.auditor.nc.gov/]</w:t>
      </w:r>
      <w:r w:rsidRPr="00E039B2">
        <w:rPr>
          <w:rFonts w:ascii="Arial" w:eastAsia="Times New Roman" w:hAnsi="Arial" w:cs="Arial"/>
        </w:rPr>
        <w:t>.</w:t>
      </w:r>
    </w:p>
    <w:p w14:paraId="5E15B121" w14:textId="77777777" w:rsidR="00966C79" w:rsidRPr="00E039B2" w:rsidRDefault="00966C79" w:rsidP="00966C79">
      <w:pPr>
        <w:tabs>
          <w:tab w:val="left" w:pos="1560"/>
        </w:tabs>
        <w:spacing w:after="240" w:line="240" w:lineRule="auto"/>
        <w:ind w:left="1915"/>
        <w:contextualSpacing/>
        <w:jc w:val="both"/>
        <w:rPr>
          <w:rFonts w:ascii="Arial" w:eastAsia="Times New Roman" w:hAnsi="Arial" w:cs="Arial"/>
          <w:b/>
          <w:i/>
          <w:color w:val="0000FF"/>
        </w:rPr>
      </w:pPr>
      <w:r w:rsidRPr="00E039B2">
        <w:rPr>
          <w:rFonts w:ascii="Arial" w:eastAsia="Times New Roman" w:hAnsi="Arial" w:cs="Arial"/>
          <w:b/>
          <w:i/>
          <w:color w:val="0000FF"/>
        </w:rPr>
        <w:t xml:space="preserve">[Include paragraphs below if Discretely Presented Component Units (DPCU(s)) - delete if not applicable]  </w:t>
      </w:r>
    </w:p>
    <w:p w14:paraId="01392113" w14:textId="77777777" w:rsidR="00966C79" w:rsidRPr="00E039B2" w:rsidRDefault="00966C79" w:rsidP="00966C79">
      <w:pPr>
        <w:tabs>
          <w:tab w:val="left" w:pos="1560"/>
        </w:tabs>
        <w:spacing w:after="0" w:line="240" w:lineRule="auto"/>
        <w:ind w:left="1915"/>
        <w:jc w:val="both"/>
        <w:rPr>
          <w:rFonts w:ascii="Arial" w:eastAsia="Times New Roman" w:hAnsi="Arial" w:cs="Arial"/>
        </w:rPr>
      </w:pPr>
      <w:r w:rsidRPr="00E039B2">
        <w:rPr>
          <w:rFonts w:ascii="Arial" w:eastAsia="Times New Roman" w:hAnsi="Arial" w:cs="Arial"/>
        </w:rPr>
        <w:t>The Department’s component unit</w:t>
      </w:r>
      <w:r w:rsidRPr="00E039B2">
        <w:rPr>
          <w:rFonts w:ascii="Arial" w:eastAsia="Times New Roman" w:hAnsi="Arial" w:cs="Arial"/>
          <w:color w:val="0000FF"/>
        </w:rPr>
        <w:t>[s]</w:t>
      </w:r>
      <w:r w:rsidRPr="00E039B2">
        <w:rPr>
          <w:rFonts w:ascii="Arial" w:eastAsia="Times New Roman" w:hAnsi="Arial" w:cs="Arial"/>
        </w:rPr>
        <w:t xml:space="preserve"> is</w:t>
      </w:r>
      <w:r w:rsidRPr="00E039B2">
        <w:rPr>
          <w:rFonts w:ascii="Arial" w:eastAsia="Times New Roman" w:hAnsi="Arial" w:cs="Arial"/>
          <w:color w:val="0000FF"/>
        </w:rPr>
        <w:t xml:space="preserve">[are] </w:t>
      </w:r>
      <w:r w:rsidRPr="00E039B2">
        <w:rPr>
          <w:rFonts w:ascii="Arial" w:eastAsia="Times New Roman" w:hAnsi="Arial" w:cs="Arial"/>
        </w:rPr>
        <w:t>discretely presented in the Department’s financial statements. See below for further discussion of the Department’s component unit</w:t>
      </w:r>
      <w:r w:rsidRPr="00E039B2">
        <w:rPr>
          <w:rFonts w:ascii="Arial" w:eastAsia="Times New Roman" w:hAnsi="Arial" w:cs="Arial"/>
          <w:color w:val="0000FF"/>
        </w:rPr>
        <w:t>[s]</w:t>
      </w:r>
      <w:r w:rsidRPr="00E039B2">
        <w:rPr>
          <w:rFonts w:ascii="Arial" w:eastAsia="Times New Roman" w:hAnsi="Arial" w:cs="Arial"/>
        </w:rPr>
        <w:t>.</w:t>
      </w:r>
    </w:p>
    <w:p w14:paraId="07B68077" w14:textId="77777777" w:rsidR="00966C79" w:rsidRPr="00E039B2" w:rsidRDefault="00966C79" w:rsidP="00966C79">
      <w:pPr>
        <w:tabs>
          <w:tab w:val="left" w:pos="1560"/>
        </w:tabs>
        <w:spacing w:after="0" w:line="240" w:lineRule="auto"/>
        <w:ind w:left="1915"/>
        <w:jc w:val="both"/>
        <w:rPr>
          <w:rFonts w:ascii="Arial" w:eastAsia="Times New Roman" w:hAnsi="Arial" w:cs="Arial"/>
          <w:b/>
          <w:color w:val="0000FF"/>
        </w:rPr>
      </w:pPr>
    </w:p>
    <w:p w14:paraId="7F6B0F4C" w14:textId="77777777" w:rsidR="00966C79" w:rsidRPr="00E039B2" w:rsidRDefault="00966C79" w:rsidP="00966C79">
      <w:pPr>
        <w:spacing w:after="240" w:line="240" w:lineRule="auto"/>
        <w:ind w:left="1890" w:firstLine="25"/>
        <w:jc w:val="both"/>
        <w:rPr>
          <w:rFonts w:ascii="Arial" w:eastAsia="Times New Roman" w:hAnsi="Arial" w:cs="Arial"/>
          <w:b/>
          <w:bCs/>
        </w:rPr>
      </w:pPr>
      <w:r w:rsidRPr="00E039B2">
        <w:rPr>
          <w:rFonts w:ascii="Arial" w:eastAsia="Times New Roman" w:hAnsi="Arial" w:cs="Arial"/>
          <w:b/>
          <w:i/>
          <w:color w:val="0000FF"/>
        </w:rPr>
        <w:t xml:space="preserve">[Explain the basis for including each component unit in the reporting entity and how to obtain a copy of their financial statements. Example </w:t>
      </w:r>
      <w:r w:rsidRPr="00E039B2">
        <w:rPr>
          <w:rFonts w:ascii="Arial" w:eastAsia="Times New Roman" w:hAnsi="Arial" w:cs="Arial"/>
          <w:b/>
          <w:i/>
          <w:color w:val="0000FF"/>
        </w:rPr>
        <w:lastRenderedPageBreak/>
        <w:t xml:space="preserve">below. If only one component unit, modify the sentence above and paragraphs below.] </w:t>
      </w:r>
    </w:p>
    <w:p w14:paraId="4936D98C" w14:textId="77777777" w:rsidR="00966C79" w:rsidRPr="00E039B2" w:rsidRDefault="00966C79" w:rsidP="00966C79">
      <w:pPr>
        <w:spacing w:after="240" w:line="240" w:lineRule="auto"/>
        <w:ind w:left="1195" w:firstLine="720"/>
        <w:jc w:val="both"/>
        <w:rPr>
          <w:rFonts w:ascii="Arial" w:eastAsia="Times New Roman" w:hAnsi="Arial" w:cs="Arial"/>
          <w:b/>
          <w:bCs/>
        </w:rPr>
      </w:pPr>
      <w:r w:rsidRPr="00E039B2">
        <w:rPr>
          <w:rFonts w:ascii="Arial" w:eastAsia="Times New Roman" w:hAnsi="Arial" w:cs="Arial"/>
          <w:b/>
          <w:bCs/>
        </w:rPr>
        <w:t>Discretely Presented Component Unit</w:t>
      </w:r>
      <w:r w:rsidRPr="00E039B2">
        <w:rPr>
          <w:rFonts w:ascii="Arial" w:eastAsia="Times New Roman" w:hAnsi="Arial" w:cs="Arial"/>
          <w:b/>
          <w:bCs/>
          <w:i/>
        </w:rPr>
        <w:t>(s)</w:t>
      </w:r>
    </w:p>
    <w:p w14:paraId="5844A68D" w14:textId="77777777" w:rsidR="00966C79" w:rsidRPr="00E039B2" w:rsidRDefault="00966C79" w:rsidP="00966C79">
      <w:pPr>
        <w:tabs>
          <w:tab w:val="left" w:pos="1560"/>
        </w:tabs>
        <w:spacing w:after="240" w:line="240" w:lineRule="auto"/>
        <w:ind w:left="1915"/>
        <w:jc w:val="both"/>
        <w:rPr>
          <w:rFonts w:ascii="Arial" w:eastAsia="Times New Roman" w:hAnsi="Arial" w:cs="Arial"/>
        </w:rPr>
      </w:pPr>
      <w:r w:rsidRPr="00E039B2">
        <w:rPr>
          <w:rFonts w:ascii="Arial" w:eastAsia="Times New Roman" w:hAnsi="Arial" w:cs="Arial"/>
          <w:b/>
          <w:color w:val="0000FF"/>
        </w:rPr>
        <w:t>[DPCU full name]</w:t>
      </w:r>
      <w:r w:rsidRPr="00E039B2">
        <w:rPr>
          <w:rFonts w:ascii="Arial" w:eastAsia="Times New Roman" w:hAnsi="Arial" w:cs="Arial"/>
          <w:b/>
        </w:rPr>
        <w:t xml:space="preserve"> </w:t>
      </w:r>
      <w:r w:rsidRPr="00E039B2">
        <w:rPr>
          <w:rFonts w:ascii="Arial" w:eastAsia="Times New Roman" w:hAnsi="Arial" w:cs="Arial"/>
        </w:rPr>
        <w:t xml:space="preserve">- The </w:t>
      </w:r>
      <w:r w:rsidRPr="00E039B2">
        <w:rPr>
          <w:rFonts w:ascii="Arial" w:eastAsia="Times New Roman" w:hAnsi="Arial" w:cs="Arial"/>
          <w:color w:val="0000FF"/>
        </w:rPr>
        <w:t xml:space="preserve">[Full name] </w:t>
      </w:r>
      <w:r w:rsidRPr="00E039B2">
        <w:rPr>
          <w:rFonts w:ascii="Arial" w:eastAsia="Times New Roman" w:hAnsi="Arial" w:cs="Arial"/>
        </w:rPr>
        <w:t>(</w:t>
      </w:r>
      <w:r w:rsidRPr="00E039B2">
        <w:rPr>
          <w:rFonts w:ascii="Arial" w:eastAsia="Times New Roman" w:hAnsi="Arial" w:cs="Arial"/>
          <w:color w:val="0000FF"/>
        </w:rPr>
        <w:t>[short name]</w:t>
      </w:r>
      <w:r w:rsidRPr="00E039B2">
        <w:rPr>
          <w:rFonts w:ascii="Arial" w:eastAsia="Times New Roman" w:hAnsi="Arial" w:cs="Arial"/>
        </w:rPr>
        <w:t>)</w:t>
      </w:r>
      <w:r w:rsidRPr="00E039B2">
        <w:rPr>
          <w:rFonts w:ascii="Arial" w:eastAsia="Times New Roman" w:hAnsi="Arial" w:cs="Arial"/>
          <w:color w:val="0000FF"/>
        </w:rPr>
        <w:t xml:space="preserve"> </w:t>
      </w:r>
      <w:r w:rsidRPr="00E039B2">
        <w:rPr>
          <w:rFonts w:ascii="Arial" w:eastAsia="Times New Roman" w:hAnsi="Arial" w:cs="Arial"/>
        </w:rPr>
        <w:t xml:space="preserve">is a legally separate entity established to </w:t>
      </w:r>
      <w:r w:rsidRPr="00E039B2">
        <w:rPr>
          <w:rFonts w:ascii="Arial" w:eastAsia="Times New Roman" w:hAnsi="Arial" w:cs="Arial"/>
          <w:color w:val="0000FF"/>
        </w:rPr>
        <w:t>[purpose]</w:t>
      </w:r>
      <w:r w:rsidRPr="00E039B2">
        <w:rPr>
          <w:rFonts w:ascii="Arial" w:eastAsia="Times New Roman" w:hAnsi="Arial" w:cs="Arial"/>
        </w:rPr>
        <w:t xml:space="preserve">. It is governed by </w:t>
      </w:r>
      <w:r w:rsidRPr="00E039B2">
        <w:rPr>
          <w:rFonts w:ascii="Arial" w:eastAsia="Times New Roman" w:hAnsi="Arial" w:cs="Arial"/>
          <w:color w:val="0000FF"/>
        </w:rPr>
        <w:t>[describe board size and appointments]</w:t>
      </w:r>
      <w:r w:rsidRPr="00E039B2">
        <w:rPr>
          <w:rFonts w:ascii="Arial" w:eastAsia="Times New Roman" w:hAnsi="Arial" w:cs="Arial"/>
        </w:rPr>
        <w:t xml:space="preserve">. The Department has obligated itself to provide significant funding to the </w:t>
      </w:r>
      <w:r w:rsidRPr="00E039B2">
        <w:rPr>
          <w:rFonts w:ascii="Arial" w:eastAsia="Times New Roman" w:hAnsi="Arial" w:cs="Arial"/>
          <w:color w:val="0000FF"/>
        </w:rPr>
        <w:t>[short name]</w:t>
      </w:r>
      <w:r w:rsidRPr="00E039B2">
        <w:rPr>
          <w:rFonts w:ascii="Arial" w:eastAsia="Times New Roman" w:hAnsi="Arial" w:cs="Arial"/>
        </w:rPr>
        <w:t xml:space="preserve">; therefore, a financial benefit/burden relationship exists between the Department and the </w:t>
      </w:r>
      <w:r w:rsidRPr="00E039B2">
        <w:rPr>
          <w:rFonts w:ascii="Arial" w:eastAsia="Times New Roman" w:hAnsi="Arial" w:cs="Arial"/>
          <w:color w:val="0000FF"/>
        </w:rPr>
        <w:t>[short name]</w:t>
      </w:r>
      <w:r w:rsidRPr="00E039B2">
        <w:rPr>
          <w:rFonts w:ascii="Arial" w:eastAsia="Times New Roman" w:hAnsi="Arial" w:cs="Arial"/>
        </w:rPr>
        <w:t>.</w:t>
      </w:r>
      <w:r w:rsidRPr="00E039B2" w:rsidDel="00FE5CBE">
        <w:rPr>
          <w:rFonts w:ascii="Arial" w:eastAsia="Times New Roman" w:hAnsi="Arial" w:cs="Arial"/>
        </w:rPr>
        <w:t xml:space="preserve"> </w:t>
      </w:r>
      <w:r w:rsidRPr="00E039B2">
        <w:rPr>
          <w:rFonts w:ascii="Arial" w:eastAsia="Times New Roman" w:hAnsi="Arial" w:cs="Arial"/>
          <w:b/>
          <w:i/>
          <w:color w:val="0000FF"/>
        </w:rPr>
        <w:t>[Modify as necessary].</w:t>
      </w:r>
    </w:p>
    <w:p w14:paraId="5CB64F21" w14:textId="77777777" w:rsidR="00966C79" w:rsidRPr="00E039B2" w:rsidRDefault="00966C79" w:rsidP="00966C79">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 xml:space="preserve">[Disclose all significant transactions between the Department and its major discretely presented component units.]  </w:t>
      </w:r>
    </w:p>
    <w:p w14:paraId="59069202" w14:textId="1DFBBE35"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During the year ended June 30, </w:t>
      </w:r>
      <w:r w:rsidRPr="00E039B2">
        <w:rPr>
          <w:rFonts w:ascii="Arial" w:eastAsia="Times New Roman" w:hAnsi="Arial" w:cs="Arial"/>
          <w:highlight w:val="yellow"/>
        </w:rPr>
        <w:t>2020</w:t>
      </w:r>
      <w:r w:rsidRPr="00E039B2">
        <w:rPr>
          <w:rFonts w:ascii="Arial" w:eastAsia="Times New Roman" w:hAnsi="Arial" w:cs="Arial"/>
        </w:rPr>
        <w:t>, the Department</w:t>
      </w:r>
      <w:r w:rsidRPr="00E039B2">
        <w:rPr>
          <w:rFonts w:ascii="Arial" w:eastAsia="Times New Roman" w:hAnsi="Arial" w:cs="Arial"/>
          <w:color w:val="0000FF"/>
        </w:rPr>
        <w:t xml:space="preserve"> </w:t>
      </w:r>
      <w:r w:rsidRPr="00E039B2">
        <w:rPr>
          <w:rFonts w:ascii="Arial" w:eastAsia="Times New Roman" w:hAnsi="Arial" w:cs="Arial"/>
        </w:rPr>
        <w:t xml:space="preserve">distributed $____________ to the </w:t>
      </w:r>
      <w:r w:rsidRPr="00E039B2">
        <w:rPr>
          <w:rFonts w:ascii="Arial" w:eastAsia="Times New Roman" w:hAnsi="Arial" w:cs="Arial"/>
          <w:color w:val="0000FF"/>
        </w:rPr>
        <w:t>[short name]</w:t>
      </w:r>
      <w:r w:rsidRPr="00E039B2">
        <w:rPr>
          <w:rFonts w:ascii="Arial" w:eastAsia="Times New Roman" w:hAnsi="Arial" w:cs="Arial"/>
        </w:rPr>
        <w:t xml:space="preserve"> for both restricted and unrestricted purposes. </w:t>
      </w:r>
      <w:r w:rsidRPr="00E039B2">
        <w:rPr>
          <w:rFonts w:ascii="Arial" w:eastAsia="Times New Roman" w:hAnsi="Arial" w:cs="Arial"/>
          <w:b/>
          <w:i/>
          <w:color w:val="0000FF"/>
        </w:rPr>
        <w:t>[Modify as necessary.]</w:t>
      </w:r>
    </w:p>
    <w:p w14:paraId="6C1C3B94" w14:textId="77777777" w:rsidR="00966C79" w:rsidRPr="00E039B2" w:rsidRDefault="00966C79" w:rsidP="00966C79">
      <w:pPr>
        <w:tabs>
          <w:tab w:val="left" w:pos="1560"/>
        </w:tabs>
        <w:spacing w:after="240" w:line="240" w:lineRule="auto"/>
        <w:ind w:left="1915"/>
        <w:jc w:val="both"/>
        <w:rPr>
          <w:rFonts w:ascii="Arial" w:eastAsia="Times New Roman" w:hAnsi="Arial" w:cs="Arial"/>
        </w:rPr>
      </w:pPr>
      <w:r w:rsidRPr="00E039B2">
        <w:rPr>
          <w:rFonts w:ascii="Arial" w:eastAsia="Times New Roman" w:hAnsi="Arial" w:cs="Arial"/>
        </w:rPr>
        <w:t>Complete financial statements for the Department’s component unit</w:t>
      </w:r>
      <w:r w:rsidRPr="00E039B2">
        <w:rPr>
          <w:rFonts w:ascii="Arial" w:eastAsia="Times New Roman" w:hAnsi="Arial" w:cs="Arial"/>
          <w:color w:val="0000FF"/>
        </w:rPr>
        <w:t>[s]</w:t>
      </w:r>
      <w:r w:rsidRPr="00E039B2">
        <w:rPr>
          <w:rFonts w:ascii="Arial" w:eastAsia="Times New Roman" w:hAnsi="Arial" w:cs="Arial"/>
        </w:rPr>
        <w:t xml:space="preserve"> may be obtained from the </w:t>
      </w:r>
      <w:r w:rsidRPr="00E039B2">
        <w:rPr>
          <w:rFonts w:ascii="Arial" w:eastAsia="Times New Roman" w:hAnsi="Arial" w:cs="Arial"/>
          <w:color w:val="0000FF"/>
        </w:rPr>
        <w:t>[Office of the State Auditor, 2 South Salisbury Street, 20601 Mail Service Center, Raleigh, N.C. 27699-0600 or can be accessed from the Office of State Auditor website at https://www.auditor.nc.gov/]</w:t>
      </w:r>
      <w:r w:rsidRPr="00E039B2">
        <w:rPr>
          <w:rFonts w:ascii="Arial" w:eastAsia="Times New Roman" w:hAnsi="Arial" w:cs="Arial"/>
        </w:rPr>
        <w:t xml:space="preserve">. </w:t>
      </w:r>
    </w:p>
    <w:p w14:paraId="12268957" w14:textId="77777777" w:rsidR="00966C79" w:rsidRPr="00E039B2" w:rsidRDefault="00966C79" w:rsidP="00966C79">
      <w:pPr>
        <w:tabs>
          <w:tab w:val="left" w:pos="1560"/>
        </w:tabs>
        <w:spacing w:after="240" w:line="240" w:lineRule="auto"/>
        <w:ind w:left="1915"/>
        <w:jc w:val="center"/>
        <w:rPr>
          <w:rFonts w:ascii="Arial" w:eastAsia="Times New Roman" w:hAnsi="Arial" w:cs="Arial"/>
          <w:b/>
          <w:color w:val="0000FF"/>
        </w:rPr>
      </w:pPr>
      <w:r w:rsidRPr="00E039B2">
        <w:rPr>
          <w:rFonts w:ascii="Arial" w:eastAsia="Times New Roman" w:hAnsi="Arial" w:cs="Arial"/>
          <w:b/>
          <w:color w:val="0000FF"/>
        </w:rPr>
        <w:t>OR</w:t>
      </w:r>
    </w:p>
    <w:p w14:paraId="6B6F89B9"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The </w:t>
      </w:r>
      <w:r w:rsidRPr="00E039B2">
        <w:rPr>
          <w:rFonts w:ascii="Arial" w:eastAsia="Times New Roman" w:hAnsi="Arial" w:cs="Arial"/>
          <w:color w:val="0000FF"/>
        </w:rPr>
        <w:t>[short name]</w:t>
      </w:r>
      <w:r w:rsidRPr="00E039B2">
        <w:rPr>
          <w:rFonts w:ascii="Arial" w:eastAsia="Times New Roman" w:hAnsi="Arial" w:cs="Arial"/>
        </w:rPr>
        <w:t xml:space="preserve"> does not issue separate financial statements. The statement of net position, statement of changes in net position, and the statement of cash flows of the </w:t>
      </w:r>
      <w:r w:rsidRPr="00E039B2">
        <w:rPr>
          <w:rFonts w:ascii="Arial" w:eastAsia="Times New Roman" w:hAnsi="Arial" w:cs="Arial"/>
          <w:color w:val="0000FF"/>
        </w:rPr>
        <w:t>[short name]</w:t>
      </w:r>
      <w:r w:rsidRPr="00E039B2">
        <w:rPr>
          <w:rFonts w:ascii="Arial" w:eastAsia="Times New Roman" w:hAnsi="Arial" w:cs="Arial"/>
        </w:rPr>
        <w:t xml:space="preserve"> are included in these statements but shown separately as it is considered to be a legally separate entity. </w:t>
      </w:r>
    </w:p>
    <w:p w14:paraId="3103641C" w14:textId="77777777" w:rsidR="00966C79" w:rsidRPr="00E039B2" w:rsidRDefault="00966C79" w:rsidP="00966C79">
      <w:pPr>
        <w:tabs>
          <w:tab w:val="left" w:pos="1560"/>
        </w:tabs>
        <w:spacing w:before="120" w:after="240" w:line="240" w:lineRule="auto"/>
        <w:ind w:left="1915" w:hanging="475"/>
        <w:jc w:val="both"/>
        <w:rPr>
          <w:rFonts w:ascii="Arial" w:eastAsia="Times New Roman" w:hAnsi="Arial" w:cs="Arial"/>
          <w:b/>
        </w:rPr>
      </w:pPr>
      <w:r w:rsidRPr="00E039B2">
        <w:rPr>
          <w:rFonts w:ascii="Arial" w:eastAsia="Times New Roman" w:hAnsi="Arial" w:cs="Arial"/>
          <w:b/>
          <w:bCs/>
        </w:rPr>
        <w:t>C.</w:t>
      </w:r>
      <w:r w:rsidRPr="00E039B2">
        <w:rPr>
          <w:rFonts w:ascii="Arial" w:eastAsia="Times New Roman" w:hAnsi="Arial" w:cs="Arial"/>
          <w:b/>
          <w:bCs/>
        </w:rPr>
        <w:tab/>
        <w:t xml:space="preserve">Basis of Presentation </w:t>
      </w:r>
      <w:r w:rsidRPr="00E039B2">
        <w:rPr>
          <w:rFonts w:ascii="Arial" w:eastAsia="Times New Roman" w:hAnsi="Arial" w:cs="Arial"/>
          <w:bCs/>
        </w:rPr>
        <w:t>-</w:t>
      </w:r>
      <w:r w:rsidRPr="00E039B2">
        <w:rPr>
          <w:rFonts w:ascii="Arial" w:eastAsia="Times New Roman" w:hAnsi="Arial" w:cs="Arial"/>
          <w:b/>
          <w:bCs/>
        </w:rPr>
        <w:t xml:space="preserve"> </w:t>
      </w:r>
      <w:r w:rsidRPr="00E039B2">
        <w:rPr>
          <w:rFonts w:ascii="Arial" w:eastAsia="Times New Roman" w:hAnsi="Arial" w:cs="Arial"/>
        </w:rPr>
        <w:t xml:space="preserve">The Department’s records are maintained on a cash basis throughout the year, but adjustments are made at the end of the fiscal year to convert to GAAP for government entities. The financial statements are prepared according to GAAP as follows: </w:t>
      </w:r>
    </w:p>
    <w:p w14:paraId="6A246135" w14:textId="7C883452" w:rsidR="00966C79" w:rsidRPr="00E039B2" w:rsidRDefault="00966C79" w:rsidP="00966C79">
      <w:pPr>
        <w:spacing w:after="240" w:line="240" w:lineRule="auto"/>
        <w:ind w:left="1915"/>
        <w:jc w:val="both"/>
        <w:rPr>
          <w:rFonts w:ascii="Arial" w:eastAsia="Times New Roman" w:hAnsi="Arial" w:cs="Arial"/>
          <w:b/>
          <w:i/>
          <w:color w:val="0000FF"/>
        </w:rPr>
      </w:pPr>
      <w:r w:rsidRPr="00E039B2">
        <w:rPr>
          <w:rFonts w:ascii="Arial" w:eastAsia="Times New Roman" w:hAnsi="Arial" w:cs="Arial"/>
        </w:rPr>
        <w:t>The accompanying financial statements are presented in accordance with accounting principles generally accepted in the United States of America as prescribed by the Governmental Accounting Standards Board</w:t>
      </w:r>
      <w:r w:rsidR="00A86BB8" w:rsidRPr="00A86BB8">
        <w:rPr>
          <w:rFonts w:ascii="Arial" w:eastAsia="Times New Roman" w:hAnsi="Arial" w:cs="Arial"/>
        </w:rPr>
        <w:t xml:space="preserve"> </w:t>
      </w:r>
      <w:r w:rsidRPr="00E039B2">
        <w:rPr>
          <w:rFonts w:ascii="Arial" w:eastAsia="Times New Roman" w:hAnsi="Arial" w:cs="Arial"/>
        </w:rPr>
        <w:t xml:space="preserve">(GASB). GASB Statement No. 34, </w:t>
      </w:r>
      <w:r w:rsidRPr="00E039B2">
        <w:rPr>
          <w:rFonts w:ascii="Arial" w:eastAsia="Times New Roman" w:hAnsi="Arial" w:cs="Arial"/>
          <w:i/>
        </w:rPr>
        <w:t>Basic Financial Statements - and Management’s Discussion and Analysis - for State and Local Governments</w:t>
      </w:r>
      <w:r w:rsidRPr="00E039B2">
        <w:rPr>
          <w:rFonts w:ascii="Arial" w:eastAsia="Times New Roman" w:hAnsi="Arial" w:cs="Arial"/>
        </w:rPr>
        <w:t xml:space="preserve"> requires the presentation of both government-wide and fund level financial statements. The financial statements presented are governmental fund </w:t>
      </w:r>
      <w:r w:rsidRPr="00E039B2">
        <w:rPr>
          <w:rFonts w:ascii="Arial" w:eastAsia="Times New Roman" w:hAnsi="Arial" w:cs="Arial"/>
          <w:color w:val="0000FF"/>
        </w:rPr>
        <w:t>[, proprietary fund, and fiduciary fund]</w:t>
      </w:r>
      <w:r w:rsidRPr="00E039B2">
        <w:rPr>
          <w:rFonts w:ascii="Arial" w:eastAsia="Times New Roman" w:hAnsi="Arial" w:cs="Arial"/>
        </w:rPr>
        <w:t xml:space="preserve"> financial statements of the Department. Because the Department is not a separate entity, government-wide financial statements are not prepared. </w:t>
      </w:r>
      <w:r w:rsidRPr="00E039B2">
        <w:rPr>
          <w:rFonts w:ascii="Arial" w:eastAsia="Times New Roman" w:hAnsi="Arial" w:cs="Arial"/>
          <w:b/>
          <w:i/>
          <w:color w:val="0000FF"/>
        </w:rPr>
        <w:t>[Modify as necessary.]</w:t>
      </w:r>
    </w:p>
    <w:p w14:paraId="10B222B2"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i/>
          <w:color w:val="0000FF"/>
        </w:rPr>
        <w:t>[Modify the following paragraphs as necessary - delete if not applicable.]</w:t>
      </w:r>
    </w:p>
    <w:p w14:paraId="1CE9C47B" w14:textId="183DAD01" w:rsidR="00966C79" w:rsidRPr="00E039B2" w:rsidRDefault="00966C79" w:rsidP="00966C79">
      <w:pPr>
        <w:spacing w:after="240" w:line="240" w:lineRule="auto"/>
        <w:ind w:left="1915"/>
        <w:jc w:val="both"/>
        <w:rPr>
          <w:rFonts w:ascii="Arial" w:eastAsia="Times New Roman" w:hAnsi="Arial" w:cs="Arial"/>
          <w:b/>
          <w:i/>
          <w:color w:val="0000FF"/>
        </w:rPr>
      </w:pPr>
      <w:r w:rsidRPr="00E039B2">
        <w:rPr>
          <w:rFonts w:ascii="Arial" w:eastAsia="Times New Roman" w:hAnsi="Arial" w:cs="Arial"/>
        </w:rPr>
        <w:lastRenderedPageBreak/>
        <w:t xml:space="preserve">The fund financial statements provide information about the Department's funds. The emphasis of fund financial statements is on major governmental funds </w:t>
      </w:r>
      <w:r w:rsidRPr="00E039B2">
        <w:rPr>
          <w:rFonts w:ascii="Arial" w:eastAsia="Times New Roman" w:hAnsi="Arial" w:cs="Arial"/>
          <w:color w:val="0000FF"/>
        </w:rPr>
        <w:t xml:space="preserve">[, proprietary funds, and fiduciary funds], </w:t>
      </w:r>
      <w:r w:rsidRPr="00E039B2">
        <w:rPr>
          <w:rFonts w:ascii="Arial" w:eastAsia="Times New Roman" w:hAnsi="Arial" w:cs="Arial"/>
        </w:rPr>
        <w:t xml:space="preserve">each displayed in separate columns within the fund’s financial statements. </w:t>
      </w:r>
      <w:r w:rsidRPr="00E039B2">
        <w:rPr>
          <w:rFonts w:ascii="Arial" w:hAnsi="Arial" w:cs="Arial"/>
        </w:rPr>
        <w:t xml:space="preserve">Throughout the report, the term Department is used to refer to the governmental funds </w:t>
      </w:r>
      <w:r w:rsidRPr="00E039B2">
        <w:rPr>
          <w:rFonts w:ascii="Arial" w:hAnsi="Arial" w:cs="Arial"/>
          <w:color w:val="0000FF"/>
        </w:rPr>
        <w:t xml:space="preserve">[, proprietary funds, and fiduciary funds] </w:t>
      </w:r>
      <w:r w:rsidRPr="00E039B2">
        <w:rPr>
          <w:rFonts w:ascii="Arial" w:hAnsi="Arial" w:cs="Arial"/>
        </w:rPr>
        <w:t xml:space="preserve">combined, unless otherwise specifically </w:t>
      </w:r>
      <w:r w:rsidRPr="00E039B2">
        <w:rPr>
          <w:rFonts w:ascii="Arial" w:hAnsi="Arial" w:cs="Arial"/>
          <w:highlight w:val="yellow"/>
        </w:rPr>
        <w:t>noted</w:t>
      </w:r>
      <w:r w:rsidRPr="00E039B2">
        <w:rPr>
          <w:rFonts w:ascii="Arial" w:hAnsi="Arial" w:cs="Arial"/>
        </w:rPr>
        <w:t>.</w:t>
      </w:r>
      <w:r w:rsidRPr="00E039B2">
        <w:rPr>
          <w:rFonts w:ascii="Arial" w:eastAsia="Times New Roman" w:hAnsi="Arial" w:cs="Arial"/>
          <w:b/>
          <w:i/>
          <w:color w:val="0000FF"/>
        </w:rPr>
        <w:t xml:space="preserve"> [Modify as necessary.]</w:t>
      </w:r>
    </w:p>
    <w:p w14:paraId="4F2376E7"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The Department’s financial statements consist of the following major governmental fund</w:t>
      </w:r>
      <w:r w:rsidRPr="00E039B2">
        <w:rPr>
          <w:rFonts w:ascii="Arial" w:eastAsia="Times New Roman" w:hAnsi="Arial" w:cs="Arial"/>
          <w:color w:val="0000FF"/>
        </w:rPr>
        <w:t>(s)</w:t>
      </w:r>
      <w:r w:rsidRPr="00E039B2">
        <w:rPr>
          <w:rFonts w:ascii="Arial" w:eastAsia="Times New Roman" w:hAnsi="Arial" w:cs="Arial"/>
        </w:rPr>
        <w:t>:</w:t>
      </w:r>
    </w:p>
    <w:p w14:paraId="1E955C0E" w14:textId="3AA10156"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General Fund</w:t>
      </w:r>
      <w:r w:rsidRPr="00E039B2">
        <w:rPr>
          <w:rFonts w:ascii="Arial" w:eastAsia="Times New Roman" w:hAnsi="Arial" w:cs="Arial"/>
        </w:rPr>
        <w:t xml:space="preserve"> - This </w:t>
      </w:r>
      <w:r w:rsidRPr="00E039B2">
        <w:rPr>
          <w:rFonts w:ascii="Arial" w:eastAsia="Times New Roman" w:hAnsi="Arial" w:cs="Arial"/>
          <w:highlight w:val="yellow"/>
        </w:rPr>
        <w:t>fund</w:t>
      </w:r>
      <w:r w:rsidRPr="00E039B2">
        <w:rPr>
          <w:rFonts w:ascii="Arial" w:eastAsia="Times New Roman" w:hAnsi="Arial" w:cs="Arial"/>
        </w:rPr>
        <w:t xml:space="preserve"> is the Department’s primary operating fund. It accounts for all financial resources of the </w:t>
      </w:r>
      <w:r w:rsidRPr="00E039B2">
        <w:rPr>
          <w:rFonts w:ascii="Arial" w:eastAsia="Times New Roman" w:hAnsi="Arial" w:cs="Arial"/>
          <w:highlight w:val="yellow"/>
        </w:rPr>
        <w:t>general government</w:t>
      </w:r>
      <w:r w:rsidRPr="00E039B2">
        <w:rPr>
          <w:rFonts w:ascii="Arial" w:eastAsia="Times New Roman" w:hAnsi="Arial" w:cs="Arial"/>
        </w:rPr>
        <w:t>, except those required to be accounted for in another fund.</w:t>
      </w:r>
      <w:r w:rsidRPr="00E039B2">
        <w:rPr>
          <w:rFonts w:ascii="Arial" w:eastAsia="Times New Roman" w:hAnsi="Arial" w:cs="Arial"/>
          <w:b/>
          <w:i/>
          <w:color w:val="0000FF"/>
        </w:rPr>
        <w:t xml:space="preserve"> </w:t>
      </w:r>
    </w:p>
    <w:p w14:paraId="62F93A49"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color w:val="0000FF"/>
        </w:rPr>
        <w:t>Fund Name</w:t>
      </w:r>
      <w:r w:rsidRPr="00E039B2">
        <w:rPr>
          <w:rFonts w:ascii="Arial" w:eastAsia="Times New Roman" w:hAnsi="Arial" w:cs="Arial"/>
        </w:rPr>
        <w:t xml:space="preserve"> - </w:t>
      </w:r>
      <w:r w:rsidRPr="00E039B2">
        <w:rPr>
          <w:rFonts w:ascii="Arial" w:eastAsia="Times New Roman" w:hAnsi="Arial" w:cs="Arial"/>
          <w:color w:val="0000FF"/>
        </w:rPr>
        <w:t>[Describe]</w:t>
      </w:r>
      <w:r w:rsidRPr="00E039B2">
        <w:rPr>
          <w:rFonts w:ascii="Arial" w:eastAsia="Times New Roman" w:hAnsi="Arial" w:cs="Arial"/>
        </w:rPr>
        <w:t xml:space="preserve">  </w:t>
      </w:r>
    </w:p>
    <w:p w14:paraId="0E3DDB03"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All remaining governmental funds are aggregated and reported as Other Governmental Funds in a separate column in the financial statements. The other governmental funds include </w:t>
      </w:r>
      <w:r w:rsidRPr="00E039B2">
        <w:rPr>
          <w:rFonts w:ascii="Arial" w:eastAsia="Times New Roman" w:hAnsi="Arial" w:cs="Arial"/>
          <w:color w:val="0000FF"/>
        </w:rPr>
        <w:t xml:space="preserve">[Fund Name(s)] </w:t>
      </w:r>
      <w:r w:rsidRPr="00E039B2">
        <w:rPr>
          <w:rFonts w:ascii="Arial" w:eastAsia="Times New Roman" w:hAnsi="Arial" w:cs="Arial"/>
        </w:rPr>
        <w:t xml:space="preserve">and are used for </w:t>
      </w:r>
      <w:r w:rsidRPr="00E039B2">
        <w:rPr>
          <w:rFonts w:ascii="Arial" w:eastAsia="Times New Roman" w:hAnsi="Arial" w:cs="Arial"/>
          <w:color w:val="0000FF"/>
        </w:rPr>
        <w:t>[describe]</w:t>
      </w:r>
      <w:r w:rsidRPr="00E039B2">
        <w:rPr>
          <w:rFonts w:ascii="Arial" w:eastAsia="Times New Roman" w:hAnsi="Arial" w:cs="Arial"/>
        </w:rPr>
        <w:t>.</w:t>
      </w:r>
      <w:r w:rsidRPr="00E039B2">
        <w:rPr>
          <w:rFonts w:ascii="Arial" w:eastAsia="Times New Roman" w:hAnsi="Arial" w:cs="Arial"/>
          <w:b/>
          <w:i/>
        </w:rPr>
        <w:t xml:space="preserve"> </w:t>
      </w:r>
    </w:p>
    <w:p w14:paraId="7607C96B"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The Department’s financial statements consist of the following major proprietary fund</w:t>
      </w:r>
      <w:r w:rsidRPr="00E039B2">
        <w:rPr>
          <w:rFonts w:ascii="Arial" w:eastAsia="Times New Roman" w:hAnsi="Arial" w:cs="Arial"/>
          <w:color w:val="0000FF"/>
        </w:rPr>
        <w:t>(s)</w:t>
      </w:r>
      <w:r w:rsidRPr="00E039B2">
        <w:rPr>
          <w:rFonts w:ascii="Arial" w:eastAsia="Times New Roman" w:hAnsi="Arial" w:cs="Arial"/>
        </w:rPr>
        <w:t>:</w:t>
      </w:r>
    </w:p>
    <w:p w14:paraId="23C70B14"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color w:val="0000FF"/>
        </w:rPr>
        <w:t>Fund Name</w:t>
      </w:r>
      <w:r w:rsidRPr="00E039B2">
        <w:rPr>
          <w:rFonts w:ascii="Arial" w:eastAsia="Times New Roman" w:hAnsi="Arial" w:cs="Arial"/>
        </w:rPr>
        <w:t xml:space="preserve"> - </w:t>
      </w:r>
      <w:r w:rsidRPr="00E039B2">
        <w:rPr>
          <w:rFonts w:ascii="Arial" w:eastAsia="Times New Roman" w:hAnsi="Arial" w:cs="Arial"/>
          <w:color w:val="0000FF"/>
        </w:rPr>
        <w:t>[Describe]</w:t>
      </w:r>
      <w:r w:rsidRPr="00E039B2">
        <w:rPr>
          <w:rFonts w:ascii="Arial" w:eastAsia="Times New Roman" w:hAnsi="Arial" w:cs="Arial"/>
        </w:rPr>
        <w:t xml:space="preserve">  </w:t>
      </w:r>
    </w:p>
    <w:p w14:paraId="2600C5D3"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All remaining proprietary funds are aggregated and reported as Other Proprietary Funds in a separate column in the financial statements. The other governmental funds include </w:t>
      </w:r>
      <w:r w:rsidRPr="00E039B2">
        <w:rPr>
          <w:rFonts w:ascii="Arial" w:eastAsia="Times New Roman" w:hAnsi="Arial" w:cs="Arial"/>
          <w:color w:val="0000FF"/>
        </w:rPr>
        <w:t xml:space="preserve">[Fund Name(s)] </w:t>
      </w:r>
      <w:r w:rsidRPr="00E039B2">
        <w:rPr>
          <w:rFonts w:ascii="Arial" w:eastAsia="Times New Roman" w:hAnsi="Arial" w:cs="Arial"/>
        </w:rPr>
        <w:t xml:space="preserve">and are used for </w:t>
      </w:r>
      <w:r w:rsidRPr="00E039B2">
        <w:rPr>
          <w:rFonts w:ascii="Arial" w:eastAsia="Times New Roman" w:hAnsi="Arial" w:cs="Arial"/>
          <w:color w:val="0000FF"/>
        </w:rPr>
        <w:t>[describe]</w:t>
      </w:r>
      <w:r w:rsidRPr="00E039B2">
        <w:rPr>
          <w:rFonts w:ascii="Arial" w:eastAsia="Times New Roman" w:hAnsi="Arial" w:cs="Arial"/>
        </w:rPr>
        <w:t>.</w:t>
      </w:r>
      <w:r w:rsidRPr="00E039B2">
        <w:rPr>
          <w:rFonts w:ascii="Arial" w:eastAsia="Times New Roman" w:hAnsi="Arial" w:cs="Arial"/>
          <w:b/>
          <w:i/>
        </w:rPr>
        <w:t xml:space="preserve"> </w:t>
      </w:r>
    </w:p>
    <w:p w14:paraId="06B1F50A"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The Department’s financial statements consist of the following fiduciary fund</w:t>
      </w:r>
      <w:r w:rsidRPr="00E039B2">
        <w:rPr>
          <w:rFonts w:ascii="Arial" w:eastAsia="Times New Roman" w:hAnsi="Arial" w:cs="Arial"/>
          <w:color w:val="0000FF"/>
        </w:rPr>
        <w:t>(s)</w:t>
      </w:r>
      <w:r w:rsidRPr="00E039B2">
        <w:rPr>
          <w:rFonts w:ascii="Arial" w:eastAsia="Times New Roman" w:hAnsi="Arial" w:cs="Arial"/>
        </w:rPr>
        <w:t>:</w:t>
      </w:r>
    </w:p>
    <w:p w14:paraId="74123BC0"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color w:val="0000FF"/>
        </w:rPr>
        <w:t xml:space="preserve">Fund Name </w:t>
      </w:r>
      <w:r w:rsidRPr="00E039B2">
        <w:rPr>
          <w:rFonts w:ascii="Arial" w:eastAsia="Times New Roman" w:hAnsi="Arial" w:cs="Arial"/>
        </w:rPr>
        <w:t xml:space="preserve">- </w:t>
      </w:r>
      <w:r w:rsidRPr="00E039B2">
        <w:rPr>
          <w:rFonts w:ascii="Arial" w:eastAsia="Times New Roman" w:hAnsi="Arial" w:cs="Arial"/>
          <w:color w:val="0000FF"/>
        </w:rPr>
        <w:t>[Describe]</w:t>
      </w:r>
      <w:r w:rsidRPr="00E039B2">
        <w:rPr>
          <w:rFonts w:ascii="Arial" w:eastAsia="Times New Roman" w:hAnsi="Arial" w:cs="Arial"/>
        </w:rPr>
        <w:t xml:space="preserve">  </w:t>
      </w:r>
    </w:p>
    <w:p w14:paraId="7A8B1AA6"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b/>
        </w:rPr>
      </w:pPr>
      <w:r w:rsidRPr="00E039B2">
        <w:rPr>
          <w:rFonts w:ascii="Arial" w:eastAsia="Times New Roman" w:hAnsi="Arial" w:cs="Arial"/>
          <w:b/>
        </w:rPr>
        <w:t>D.</w:t>
      </w:r>
      <w:r w:rsidRPr="00E039B2">
        <w:rPr>
          <w:rFonts w:ascii="Arial" w:eastAsia="Times New Roman" w:hAnsi="Arial" w:cs="Arial"/>
          <w:b/>
        </w:rPr>
        <w:tab/>
        <w:t>Measurement Focus and Basis of Accounting</w:t>
      </w:r>
    </w:p>
    <w:p w14:paraId="458A53B5" w14:textId="4DBD16A2" w:rsidR="00966C79" w:rsidRPr="00E039B2" w:rsidRDefault="00966C79" w:rsidP="00966C79">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rPr>
        <w:tab/>
      </w:r>
      <w:r w:rsidRPr="00E039B2">
        <w:rPr>
          <w:rFonts w:ascii="Arial" w:eastAsia="Times New Roman" w:hAnsi="Arial" w:cs="Arial"/>
        </w:rPr>
        <w:tab/>
      </w:r>
      <w:r w:rsidRPr="00E039B2">
        <w:rPr>
          <w:rFonts w:ascii="Arial" w:eastAsia="Times New Roman" w:hAnsi="Arial" w:cs="Arial"/>
          <w:b/>
        </w:rPr>
        <w:t xml:space="preserve">Governmental Funds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Governmental </w:t>
      </w:r>
      <w:r w:rsidRPr="00E039B2">
        <w:rPr>
          <w:rFonts w:ascii="Arial" w:eastAsia="Times New Roman" w:hAnsi="Arial" w:cs="Arial"/>
          <w:highlight w:val="yellow"/>
        </w:rPr>
        <w:t>f</w:t>
      </w:r>
      <w:r w:rsidRPr="00E039B2">
        <w:rPr>
          <w:rFonts w:ascii="Arial" w:eastAsia="Times New Roman" w:hAnsi="Arial" w:cs="Arial"/>
        </w:rPr>
        <w:t xml:space="preserve">und financial statements have been prepared using the current financial resources measurement focus and the modified accrual basis of accounting. With this measurement focus, only current assets and liabilities are generally included on the balance sheet. The operating statement presents increases (revenues and other financing sources) and decreases (expenditures and other financing uses) in spendable resources. General capital asset acquisitions are reported as expenditures </w:t>
      </w:r>
      <w:r w:rsidRPr="00E039B2">
        <w:rPr>
          <w:rFonts w:ascii="Arial" w:eastAsia="Times New Roman" w:hAnsi="Arial" w:cs="Arial"/>
          <w:color w:val="0000FF"/>
        </w:rPr>
        <w:t>[and proceeds of general long-term debt are reported as other financing sources]</w:t>
      </w:r>
      <w:r w:rsidRPr="00E039B2">
        <w:rPr>
          <w:rFonts w:ascii="Arial" w:eastAsia="Times New Roman" w:hAnsi="Arial" w:cs="Arial"/>
        </w:rPr>
        <w:t xml:space="preserve">. </w:t>
      </w:r>
      <w:r w:rsidRPr="00E039B2">
        <w:rPr>
          <w:rFonts w:ascii="Arial" w:eastAsia="Times New Roman" w:hAnsi="Arial" w:cs="Arial"/>
          <w:b/>
          <w:i/>
          <w:color w:val="0000FF"/>
        </w:rPr>
        <w:t>[Modify as necessary.]</w:t>
      </w:r>
    </w:p>
    <w:p w14:paraId="66BA14E7" w14:textId="6A1A2F3F"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Under the modified accrual basis of accounting, revenues are recognized as soon as they are both measurable and available.</w:t>
      </w:r>
      <w:r w:rsidRPr="00E039B2">
        <w:rPr>
          <w:rFonts w:ascii="Times New Roman" w:eastAsia="Times New Roman" w:hAnsi="Times New Roman" w:cs="Times New Roman"/>
        </w:rPr>
        <w:t xml:space="preserve"> </w:t>
      </w:r>
      <w:r w:rsidRPr="00E039B2">
        <w:rPr>
          <w:rFonts w:ascii="Arial" w:eastAsia="Times New Roman" w:hAnsi="Arial" w:cs="Arial"/>
        </w:rPr>
        <w:t xml:space="preserve">Revenues are </w:t>
      </w:r>
      <w:r w:rsidRPr="00E039B2">
        <w:rPr>
          <w:rFonts w:ascii="Arial" w:eastAsia="Times New Roman" w:hAnsi="Arial" w:cs="Arial"/>
        </w:rPr>
        <w:lastRenderedPageBreak/>
        <w:t xml:space="preserve">considered to be available when they are collectible within the current period or soon enough thereafter to pay liabilities of the current period. For this purpose, the Department considers revenues to be available if they are collected within 31 days of the end of the current fiscal period. </w:t>
      </w:r>
      <w:r w:rsidRPr="00E039B2">
        <w:rPr>
          <w:rFonts w:ascii="Arial" w:eastAsia="Times New Roman" w:hAnsi="Arial" w:cs="Arial"/>
          <w:color w:val="0000FF"/>
        </w:rPr>
        <w:t>[Describe exceptions to 31 days rule, if any.]</w:t>
      </w:r>
      <w:r w:rsidRPr="00E039B2">
        <w:rPr>
          <w:rFonts w:ascii="Arial" w:eastAsia="Times New Roman" w:hAnsi="Arial" w:cs="Arial"/>
        </w:rPr>
        <w:t xml:space="preserve"> Expenditures are recorded when a liability is incurred, except for </w:t>
      </w:r>
      <w:r w:rsidRPr="00E039B2">
        <w:rPr>
          <w:rFonts w:ascii="Arial" w:eastAsia="Times New Roman" w:hAnsi="Arial" w:cs="Arial"/>
          <w:color w:val="0000FF"/>
        </w:rPr>
        <w:t xml:space="preserve">[compensated absences, workers’ compensation, pollution remediation, and financing agreements], </w:t>
      </w:r>
      <w:r w:rsidRPr="00E039B2">
        <w:rPr>
          <w:rFonts w:ascii="Arial" w:eastAsia="Times New Roman" w:hAnsi="Arial" w:cs="Arial"/>
        </w:rPr>
        <w:t>which are recognized as expenditures when payment is due.</w:t>
      </w:r>
      <w:r w:rsidRPr="00E039B2">
        <w:rPr>
          <w:rFonts w:ascii="Calibri" w:eastAsia="Times New Roman" w:hAnsi="Calibri" w:cs="Times New Roman"/>
          <w:b/>
        </w:rPr>
        <w:t xml:space="preserve"> </w:t>
      </w:r>
      <w:r w:rsidRPr="00E039B2">
        <w:rPr>
          <w:rFonts w:ascii="Arial" w:eastAsia="Times New Roman" w:hAnsi="Arial" w:cs="Arial"/>
        </w:rPr>
        <w:t xml:space="preserve">Pension and other postemployment benefit (OPEB) contributions to cost-sharing plans are recognized as expenditures in the period to which the payment relates, even if </w:t>
      </w:r>
      <w:r w:rsidRPr="00E039B2">
        <w:rPr>
          <w:rFonts w:ascii="Arial" w:eastAsia="Times New Roman" w:hAnsi="Arial" w:cs="Arial"/>
          <w:highlight w:val="yellow"/>
        </w:rPr>
        <w:t>the</w:t>
      </w:r>
      <w:r w:rsidRPr="00E039B2">
        <w:rPr>
          <w:rFonts w:ascii="Arial" w:eastAsia="Times New Roman" w:hAnsi="Arial" w:cs="Arial"/>
        </w:rPr>
        <w:t xml:space="preserve"> payment is not due until the subsequent period.</w:t>
      </w:r>
      <w:r w:rsidRPr="00E039B2">
        <w:rPr>
          <w:rFonts w:ascii="Arial" w:eastAsia="Times New Roman" w:hAnsi="Arial" w:cs="Arial"/>
          <w:b/>
          <w:i/>
          <w:color w:val="0000FF"/>
        </w:rPr>
        <w:t xml:space="preserve"> [Modify as necessary.]</w:t>
      </w:r>
    </w:p>
    <w:p w14:paraId="0BC0CD12"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Since capital asset and long-term liability accounts relating to the governmental funds are reported only at the statewide level, these amounts are not included in the Department’s governmental fund financial statements. However, these amounts are reported in the Department’s Notes to the Financial Statements.</w:t>
      </w:r>
    </w:p>
    <w:p w14:paraId="7E87D545"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Proprietary Fund</w:t>
      </w:r>
      <w:r w:rsidRPr="00E039B2">
        <w:rPr>
          <w:rFonts w:ascii="Arial" w:eastAsia="Times New Roman" w:hAnsi="Arial" w:cs="Arial"/>
          <w:b/>
          <w:color w:val="0000FF"/>
        </w:rPr>
        <w:t xml:space="preserve">(s) </w:t>
      </w:r>
      <w:r w:rsidRPr="00E039B2">
        <w:rPr>
          <w:rFonts w:ascii="Arial" w:eastAsia="Times New Roman" w:hAnsi="Arial" w:cs="Arial"/>
        </w:rPr>
        <w:t xml:space="preserve">- Proprietary fund financial statements have been prepared using the economic resource measurement focus and the accrual basis of accounting. Under the accrual basis, revenues are recognized when earned and expenses are recorded when an obligation has been incurred, regardless of the timing of related cash flows. </w:t>
      </w:r>
      <w:r w:rsidRPr="00E039B2">
        <w:rPr>
          <w:rFonts w:ascii="Arial" w:eastAsia="Times New Roman" w:hAnsi="Arial" w:cs="Arial"/>
          <w:b/>
          <w:i/>
          <w:color w:val="0000FF"/>
        </w:rPr>
        <w:t>[Delete if not applicable.]</w:t>
      </w:r>
    </w:p>
    <w:p w14:paraId="3C0DBEF0"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Fiduciary Fund</w:t>
      </w:r>
      <w:r w:rsidRPr="00E039B2">
        <w:rPr>
          <w:rFonts w:ascii="Arial" w:eastAsia="Times New Roman" w:hAnsi="Arial" w:cs="Arial"/>
          <w:b/>
          <w:color w:val="0000FF"/>
        </w:rPr>
        <w:t xml:space="preserve">(s) </w:t>
      </w:r>
      <w:r w:rsidRPr="00E039B2">
        <w:rPr>
          <w:rFonts w:ascii="Arial" w:eastAsia="Times New Roman" w:hAnsi="Arial" w:cs="Arial"/>
        </w:rPr>
        <w:t>- The fiduciary fund</w:t>
      </w:r>
      <w:r w:rsidRPr="00E039B2">
        <w:rPr>
          <w:rFonts w:ascii="Arial" w:eastAsia="Times New Roman" w:hAnsi="Arial" w:cs="Arial"/>
          <w:color w:val="0000FF"/>
        </w:rPr>
        <w:t xml:space="preserve">[s] </w:t>
      </w:r>
      <w:r w:rsidRPr="00E039B2">
        <w:rPr>
          <w:rFonts w:ascii="Arial" w:eastAsia="Times New Roman" w:hAnsi="Arial" w:cs="Arial"/>
        </w:rPr>
        <w:t>is</w:t>
      </w:r>
      <w:r w:rsidRPr="00E039B2">
        <w:rPr>
          <w:rFonts w:ascii="Arial" w:eastAsia="Times New Roman" w:hAnsi="Arial" w:cs="Arial"/>
          <w:color w:val="0000FF"/>
        </w:rPr>
        <w:t xml:space="preserve">[are] </w:t>
      </w:r>
      <w:r w:rsidRPr="00E039B2">
        <w:rPr>
          <w:rFonts w:ascii="Arial" w:eastAsia="Times New Roman" w:hAnsi="Arial" w:cs="Arial"/>
        </w:rPr>
        <w:t>considered an agency fund and is</w:t>
      </w:r>
      <w:r w:rsidRPr="00E039B2">
        <w:rPr>
          <w:rFonts w:ascii="Arial" w:eastAsia="Times New Roman" w:hAnsi="Arial" w:cs="Arial"/>
          <w:color w:val="0000FF"/>
        </w:rPr>
        <w:t xml:space="preserve">[are] </w:t>
      </w:r>
      <w:r w:rsidRPr="00E039B2">
        <w:rPr>
          <w:rFonts w:ascii="Arial" w:eastAsia="Times New Roman" w:hAnsi="Arial" w:cs="Arial"/>
        </w:rPr>
        <w:t xml:space="preserve">custodial in nature, therefore, their financial statements do not have a measurement focus. </w:t>
      </w:r>
      <w:r w:rsidRPr="00E039B2">
        <w:rPr>
          <w:rFonts w:ascii="Arial" w:eastAsia="Times New Roman" w:hAnsi="Arial" w:cs="Arial"/>
          <w:b/>
          <w:i/>
          <w:color w:val="0000FF"/>
        </w:rPr>
        <w:t>[Delete if not applicable.]</w:t>
      </w:r>
    </w:p>
    <w:p w14:paraId="7662D53A" w14:textId="77777777" w:rsidR="00966C79" w:rsidRPr="00E039B2" w:rsidRDefault="00966C79" w:rsidP="00966C79">
      <w:pPr>
        <w:spacing w:after="240" w:line="240" w:lineRule="auto"/>
        <w:ind w:left="1915"/>
        <w:jc w:val="center"/>
        <w:rPr>
          <w:rFonts w:ascii="Arial" w:eastAsia="Times New Roman" w:hAnsi="Arial" w:cs="Arial"/>
          <w:b/>
          <w:color w:val="0000FF"/>
        </w:rPr>
      </w:pPr>
      <w:r w:rsidRPr="00E039B2">
        <w:rPr>
          <w:rFonts w:ascii="Arial" w:eastAsia="Times New Roman" w:hAnsi="Arial" w:cs="Arial"/>
          <w:b/>
          <w:color w:val="0000FF"/>
        </w:rPr>
        <w:t>OR</w:t>
      </w:r>
    </w:p>
    <w:p w14:paraId="489AFC52"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Fiduciary Fund</w:t>
      </w:r>
      <w:r w:rsidRPr="00E039B2">
        <w:rPr>
          <w:rFonts w:ascii="Arial" w:eastAsia="Times New Roman" w:hAnsi="Arial" w:cs="Arial"/>
          <w:b/>
          <w:color w:val="0000FF"/>
        </w:rPr>
        <w:t xml:space="preserve">(s) </w:t>
      </w:r>
      <w:r w:rsidRPr="00E039B2">
        <w:rPr>
          <w:rFonts w:ascii="Arial" w:eastAsia="Times New Roman" w:hAnsi="Arial" w:cs="Arial"/>
        </w:rPr>
        <w:t xml:space="preserve">- Fiduciary fund financial statements have been prepared using the economic resources measurement focus and the accrual basis of accounting. Under this method, additions are recorded when earned and deductions are recorded at the time liabilities are incurred, regardless of the timing of related cash flows. These balances do not belong to the Department and are not considered to be assets or liabilities of the Department. </w:t>
      </w:r>
      <w:r w:rsidRPr="00E039B2">
        <w:rPr>
          <w:rFonts w:ascii="Arial" w:eastAsia="Times New Roman" w:hAnsi="Arial" w:cs="Arial"/>
          <w:b/>
          <w:i/>
          <w:color w:val="0000FF"/>
        </w:rPr>
        <w:t>[Delete if not applicable.]</w:t>
      </w:r>
    </w:p>
    <w:p w14:paraId="7CCE9F24"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 xml:space="preserve">Component Units </w:t>
      </w:r>
      <w:r w:rsidRPr="00E039B2">
        <w:rPr>
          <w:rFonts w:ascii="Arial" w:eastAsia="Times New Roman" w:hAnsi="Arial" w:cs="Arial"/>
        </w:rPr>
        <w:t xml:space="preserve">- The </w:t>
      </w:r>
      <w:r w:rsidRPr="00E039B2">
        <w:rPr>
          <w:rFonts w:ascii="Arial" w:eastAsia="Times New Roman" w:hAnsi="Arial" w:cs="Arial"/>
          <w:color w:val="0000FF"/>
        </w:rPr>
        <w:t xml:space="preserve">[Component unit] </w:t>
      </w:r>
      <w:r w:rsidRPr="00E039B2">
        <w:rPr>
          <w:rFonts w:ascii="Arial" w:eastAsia="Times New Roman" w:hAnsi="Arial" w:cs="Arial"/>
        </w:rPr>
        <w:t>financial statements were prepared using the economic resource measurement focus and the accrual basis of accounting. Under the accrual basis, revenues are recorded when earned and expenses are recorded at the time liabilities are incurred, regardless of the timing of related cash flows.</w:t>
      </w:r>
      <w:r w:rsidRPr="00E039B2">
        <w:rPr>
          <w:rFonts w:ascii="Arial" w:eastAsia="Times New Roman" w:hAnsi="Arial" w:cs="Arial"/>
          <w:b/>
          <w:i/>
          <w:color w:val="0000FF"/>
        </w:rPr>
        <w:t xml:space="preserve"> [Delete if not applicable.]</w:t>
      </w:r>
    </w:p>
    <w:p w14:paraId="1DBC219D" w14:textId="7AD7BCAE"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Nonexchange transactions, in which the Department receives (or gives) value without directly giving (or receiving) equal value in exchange, include </w:t>
      </w:r>
      <w:r w:rsidRPr="00E039B2">
        <w:rPr>
          <w:rFonts w:ascii="Arial" w:eastAsia="Times New Roman" w:hAnsi="Arial" w:cs="Arial"/>
          <w:color w:val="0000FF"/>
        </w:rPr>
        <w:t>[investment earnings (or losses), state appropriations, escheated property, and certain grants and similar assistance]</w:t>
      </w:r>
      <w:r w:rsidRPr="00E039B2">
        <w:rPr>
          <w:rFonts w:ascii="Arial" w:eastAsia="Times New Roman" w:hAnsi="Arial" w:cs="Arial"/>
        </w:rPr>
        <w:t xml:space="preserve">. Revenues are recognized, net </w:t>
      </w:r>
      <w:r w:rsidRPr="00E039B2">
        <w:rPr>
          <w:rFonts w:ascii="Arial" w:eastAsia="Times New Roman" w:hAnsi="Arial" w:cs="Arial"/>
        </w:rPr>
        <w:lastRenderedPageBreak/>
        <w:t xml:space="preserve">of estimated uncollectible amounts, as soon as all eligibility requirements imposed by the provider have been met, if probable of collection. </w:t>
      </w:r>
      <w:r w:rsidRPr="00E039B2">
        <w:rPr>
          <w:rFonts w:ascii="Arial" w:eastAsia="Times New Roman" w:hAnsi="Arial" w:cs="Arial"/>
          <w:b/>
          <w:i/>
          <w:color w:val="0000FF"/>
        </w:rPr>
        <w:t>[Modify as necessary.]</w:t>
      </w:r>
    </w:p>
    <w:p w14:paraId="55624F7D" w14:textId="416E59DE" w:rsidR="00966C79" w:rsidRPr="00E039B2" w:rsidRDefault="00966C79" w:rsidP="00966C79">
      <w:pPr>
        <w:spacing w:after="240" w:line="240" w:lineRule="auto"/>
        <w:ind w:left="1915"/>
        <w:jc w:val="both"/>
        <w:rPr>
          <w:rFonts w:ascii="Arial" w:eastAsia="Times New Roman" w:hAnsi="Arial" w:cs="Arial"/>
          <w:b/>
        </w:rPr>
      </w:pPr>
      <w:r w:rsidRPr="00E039B2">
        <w:rPr>
          <w:rFonts w:ascii="Arial" w:eastAsia="Times New Roman" w:hAnsi="Arial" w:cs="Arial"/>
        </w:rPr>
        <w:t>The preparation of financial statements, in conformity with GAAP, requires management of the Department to make estimates and judgments that affect the reported amounts of assets, deferred outflows of resources, liabilities, deferred inflows of resources and the disclosures and contingencies at the date of the financial statements and revenues and expenditures recognized during the reporting period. Actual results could differ from those estimates. Should actual results differ from those estimates, changes will flow through the financial statements during the year of change and will be disclosed, if material.</w:t>
      </w:r>
      <w:r w:rsidRPr="00E039B2">
        <w:rPr>
          <w:rFonts w:ascii="Arial" w:eastAsia="Times New Roman" w:hAnsi="Arial" w:cs="Arial"/>
          <w:b/>
        </w:rPr>
        <w:t xml:space="preserve"> </w:t>
      </w:r>
      <w:r w:rsidRPr="00E039B2">
        <w:rPr>
          <w:rFonts w:ascii="Arial" w:eastAsia="Times New Roman" w:hAnsi="Arial" w:cs="Arial"/>
          <w:b/>
          <w:i/>
          <w:color w:val="0000FF"/>
        </w:rPr>
        <w:t>[Delete if no significant estimates]</w:t>
      </w:r>
    </w:p>
    <w:p w14:paraId="379044E1"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E.</w:t>
      </w:r>
      <w:r w:rsidRPr="00E039B2">
        <w:rPr>
          <w:rFonts w:ascii="Arial" w:eastAsia="Times New Roman" w:hAnsi="Arial" w:cs="Arial"/>
          <w:b/>
        </w:rPr>
        <w:tab/>
        <w:t xml:space="preserve">Cash and Cash Equivalents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Cs/>
          <w:iCs/>
        </w:rPr>
        <w:t xml:space="preserve">This classification includes </w:t>
      </w:r>
      <w:r w:rsidRPr="00E039B2">
        <w:rPr>
          <w:rFonts w:ascii="Arial" w:eastAsia="Times New Roman" w:hAnsi="Arial" w:cs="Arial"/>
          <w:bCs/>
          <w:iCs/>
          <w:color w:val="0000FF"/>
        </w:rPr>
        <w:t>[undeposited receipts, petty cash</w:t>
      </w:r>
      <w:r w:rsidRPr="00E039B2">
        <w:rPr>
          <w:rFonts w:ascii="Arial" w:eastAsia="Times New Roman" w:hAnsi="Arial" w:cs="Arial"/>
          <w:color w:val="0000FF"/>
        </w:rPr>
        <w:t xml:space="preserve">, cash on deposit with private bank accounts, cash on deposit with fiscal agents, and] </w:t>
      </w:r>
      <w:r w:rsidRPr="00E039B2">
        <w:rPr>
          <w:rFonts w:ascii="Arial" w:eastAsia="Times New Roman" w:hAnsi="Arial" w:cs="Arial"/>
        </w:rPr>
        <w:t xml:space="preserve">deposits held by the State Treasurer in the Short-Term Investment Fund (STIF). The STIF maintained by the State Treasurer has the general characteristics of a demand deposit account in that participants may deposit and withdraw cash at any time without prior notice or penalty. </w:t>
      </w:r>
      <w:r w:rsidRPr="00E039B2">
        <w:rPr>
          <w:rFonts w:ascii="Arial" w:eastAsia="Times New Roman" w:hAnsi="Arial" w:cs="Arial"/>
          <w:b/>
          <w:i/>
          <w:color w:val="0000FF"/>
        </w:rPr>
        <w:t>[Modify as deemed necessary based on Department’s deposits.]</w:t>
      </w:r>
    </w:p>
    <w:p w14:paraId="34AF36BE" w14:textId="77777777" w:rsidR="00966C79" w:rsidRPr="00E039B2" w:rsidRDefault="00966C79" w:rsidP="00966C79">
      <w:pPr>
        <w:tabs>
          <w:tab w:val="left" w:pos="1560"/>
        </w:tabs>
        <w:spacing w:after="0" w:line="240" w:lineRule="auto"/>
        <w:ind w:left="1915" w:hanging="475"/>
        <w:jc w:val="center"/>
        <w:rPr>
          <w:rFonts w:ascii="Arial" w:eastAsia="Times New Roman" w:hAnsi="Arial" w:cs="Arial"/>
          <w:b/>
          <w:i/>
          <w:color w:val="0000FF"/>
        </w:rPr>
      </w:pPr>
      <w:r w:rsidRPr="00E039B2">
        <w:rPr>
          <w:rFonts w:ascii="Arial" w:eastAsia="Times New Roman" w:hAnsi="Arial" w:cs="Arial"/>
          <w:b/>
          <w:i/>
          <w:color w:val="0000FF"/>
        </w:rPr>
        <w:t>OR</w:t>
      </w:r>
    </w:p>
    <w:p w14:paraId="40D3EA0B" w14:textId="77777777" w:rsidR="00966C79" w:rsidRPr="00E039B2" w:rsidRDefault="00966C79" w:rsidP="00966C79">
      <w:pPr>
        <w:tabs>
          <w:tab w:val="left" w:pos="1560"/>
        </w:tabs>
        <w:spacing w:after="240" w:line="240" w:lineRule="auto"/>
        <w:ind w:left="1915" w:hanging="475"/>
        <w:jc w:val="center"/>
        <w:rPr>
          <w:rFonts w:ascii="Arial" w:eastAsia="Times New Roman" w:hAnsi="Arial" w:cs="Arial"/>
          <w:b/>
          <w:i/>
          <w:color w:val="0000FF"/>
        </w:rPr>
      </w:pPr>
      <w:r w:rsidRPr="00E039B2">
        <w:rPr>
          <w:rFonts w:ascii="Arial" w:eastAsia="Times New Roman" w:hAnsi="Arial" w:cs="Arial"/>
          <w:b/>
          <w:i/>
          <w:color w:val="0000FF"/>
        </w:rPr>
        <w:tab/>
        <w:t>[If all of the Department’s investments are held in the STIF:]</w:t>
      </w:r>
    </w:p>
    <w:p w14:paraId="1CC68BBA" w14:textId="77777777" w:rsidR="00966C79" w:rsidRPr="00E039B2" w:rsidRDefault="00966C79" w:rsidP="00966C79">
      <w:pPr>
        <w:tabs>
          <w:tab w:val="left" w:pos="1890"/>
        </w:tabs>
        <w:spacing w:after="240" w:line="240" w:lineRule="auto"/>
        <w:ind w:left="1890" w:hanging="450"/>
        <w:jc w:val="both"/>
        <w:rPr>
          <w:rFonts w:ascii="Arial" w:eastAsia="Times New Roman" w:hAnsi="Arial" w:cs="Arial"/>
          <w:b/>
          <w:i/>
          <w:color w:val="0000FF"/>
        </w:rPr>
      </w:pPr>
      <w:r w:rsidRPr="00E039B2">
        <w:rPr>
          <w:rFonts w:ascii="Arial" w:eastAsia="Times New Roman" w:hAnsi="Arial" w:cs="Arial"/>
          <w:b/>
        </w:rPr>
        <w:t>E.</w:t>
      </w:r>
      <w:r w:rsidRPr="00E039B2">
        <w:rPr>
          <w:rFonts w:ascii="Arial" w:eastAsia="Times New Roman" w:hAnsi="Arial" w:cs="Arial"/>
          <w:b/>
        </w:rPr>
        <w:tab/>
        <w:t xml:space="preserve">Cash and Cash Equivalents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Cs/>
          <w:iCs/>
        </w:rPr>
        <w:t xml:space="preserve">This classification includes </w:t>
      </w:r>
      <w:r w:rsidRPr="00E039B2">
        <w:rPr>
          <w:rFonts w:ascii="Arial" w:eastAsia="Times New Roman" w:hAnsi="Arial" w:cs="Arial"/>
          <w:bCs/>
          <w:iCs/>
          <w:color w:val="0000FF"/>
        </w:rPr>
        <w:t>[</w:t>
      </w:r>
      <w:r w:rsidRPr="00E039B2">
        <w:rPr>
          <w:rFonts w:ascii="Arial" w:eastAsia="Times New Roman" w:hAnsi="Arial" w:cs="Arial"/>
          <w:color w:val="0000FF"/>
        </w:rPr>
        <w:t xml:space="preserve">undeposited receipts, petty cash, cash on deposit with private bank accounts, cash on deposit with fiscal agents, and] </w:t>
      </w:r>
      <w:r w:rsidRPr="00E039B2">
        <w:rPr>
          <w:rFonts w:ascii="Arial" w:eastAsia="Times New Roman" w:hAnsi="Arial" w:cs="Arial"/>
        </w:rPr>
        <w:t xml:space="preserve">deposits held by the State Treasurer in the Short-Term Investment Fund (STIF). The STIF maintained by the State Treasurer has the general characteristics of a demand deposit account in that participants may deposit and withdraw cash at any time without prior notice or penalty. The Department’s equity position in the STIF is recorded at fair value. Additional information regarding the fair value measurement of deposits held by the State Treasurer in the STIF is disclosed in </w:t>
      </w:r>
      <w:r w:rsidRPr="00E039B2">
        <w:rPr>
          <w:rFonts w:ascii="Arial" w:eastAsia="Times New Roman" w:hAnsi="Arial" w:cs="Arial"/>
          <w:color w:val="000000" w:themeColor="text1"/>
        </w:rPr>
        <w:t xml:space="preserve">Note </w:t>
      </w:r>
      <w:r w:rsidRPr="00E039B2">
        <w:rPr>
          <w:rFonts w:ascii="Arial" w:eastAsia="Times New Roman" w:hAnsi="Arial" w:cs="Arial"/>
          <w:b/>
          <w:color w:val="0000FF"/>
        </w:rPr>
        <w:t>XX</w:t>
      </w:r>
      <w:r w:rsidRPr="00E039B2">
        <w:rPr>
          <w:rFonts w:ascii="Arial" w:eastAsia="Times New Roman" w:hAnsi="Arial" w:cs="Arial"/>
        </w:rPr>
        <w:t xml:space="preserve">. </w:t>
      </w:r>
      <w:r w:rsidRPr="00E039B2">
        <w:rPr>
          <w:rFonts w:ascii="Arial" w:eastAsia="Times New Roman" w:hAnsi="Arial" w:cs="Arial"/>
          <w:b/>
          <w:i/>
          <w:color w:val="0000FF"/>
        </w:rPr>
        <w:t>[Modify as deemed necessary based on Department’s deposits.]</w:t>
      </w:r>
    </w:p>
    <w:p w14:paraId="07EB2F59"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F.</w:t>
      </w:r>
      <w:r w:rsidRPr="00E039B2">
        <w:rPr>
          <w:rFonts w:ascii="Arial" w:eastAsia="Times New Roman" w:hAnsi="Arial" w:cs="Arial"/>
          <w:b/>
        </w:rPr>
        <w:tab/>
        <w:t xml:space="preserve">Investments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To the extent available, investments are recorded at fair value based on quoted market prices in active markets on a trade-date basis. Additional information regarding the fair value measurement of investments is disclosed in Note </w:t>
      </w:r>
      <w:r w:rsidRPr="00E039B2">
        <w:rPr>
          <w:rFonts w:ascii="Arial" w:eastAsia="Times New Roman" w:hAnsi="Arial" w:cs="Arial"/>
          <w:b/>
          <w:color w:val="0000FF"/>
        </w:rPr>
        <w:t>XX</w:t>
      </w:r>
      <w:r w:rsidRPr="00E039B2">
        <w:rPr>
          <w:rFonts w:ascii="Arial" w:eastAsia="Times New Roman" w:hAnsi="Arial" w:cs="Arial"/>
        </w:rPr>
        <w:t>. 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w:t>
      </w:r>
      <w:r w:rsidRPr="00E039B2">
        <w:rPr>
          <w:rFonts w:ascii="Arial" w:eastAsia="Times New Roman" w:hAnsi="Arial" w:cs="Arial"/>
          <w:b/>
          <w:i/>
          <w:color w:val="0000FF"/>
        </w:rPr>
        <w:t xml:space="preserve"> [Modify as deemed necessary.]</w:t>
      </w:r>
    </w:p>
    <w:p w14:paraId="64841577" w14:textId="77777777" w:rsidR="00966C79" w:rsidRPr="00E039B2" w:rsidRDefault="00966C79" w:rsidP="00966C79">
      <w:pPr>
        <w:spacing w:after="240" w:line="240" w:lineRule="auto"/>
        <w:ind w:left="1890"/>
        <w:jc w:val="both"/>
        <w:rPr>
          <w:rFonts w:ascii="Arial" w:eastAsia="Times New Roman" w:hAnsi="Arial" w:cs="Arial"/>
          <w:b/>
          <w:i/>
          <w:color w:val="0000FF"/>
        </w:rPr>
      </w:pPr>
      <w:r w:rsidRPr="00E039B2">
        <w:rPr>
          <w:rFonts w:ascii="Arial" w:eastAsia="Times New Roman" w:hAnsi="Arial" w:cs="Arial"/>
          <w:b/>
          <w:i/>
          <w:color w:val="0000FF"/>
        </w:rPr>
        <w:t xml:space="preserve">[Note to preparer: </w:t>
      </w:r>
      <w:r w:rsidRPr="00E039B2">
        <w:rPr>
          <w:rFonts w:ascii="Arial" w:eastAsia="Times New Roman" w:hAnsi="Arial" w:cs="Arial"/>
          <w:b/>
          <w:i/>
          <w:color w:val="0000FF"/>
          <w:highlight w:val="yellow"/>
        </w:rPr>
        <w:t>This paragraph should include all of the Department’s investments that are not measured at fair value (i.e. investments not disclosed in Note X. See GASB Codification Section I50.121-123 for exceptions to fair value reporting</w:t>
      </w:r>
      <w:r w:rsidRPr="00E039B2">
        <w:rPr>
          <w:rFonts w:ascii="Arial" w:eastAsia="Times New Roman" w:hAnsi="Arial" w:cs="Arial"/>
          <w:b/>
          <w:i/>
          <w:color w:val="0000FF"/>
        </w:rPr>
        <w:t xml:space="preserve">. Remove entire </w:t>
      </w:r>
      <w:r w:rsidRPr="00E039B2">
        <w:rPr>
          <w:rFonts w:ascii="Arial" w:eastAsia="Times New Roman" w:hAnsi="Arial" w:cs="Arial"/>
          <w:b/>
          <w:i/>
          <w:color w:val="0000FF"/>
        </w:rPr>
        <w:lastRenderedPageBreak/>
        <w:t>paragraph F if all of the Department’s investments are held in the STIF.]</w:t>
      </w:r>
    </w:p>
    <w:p w14:paraId="3A384F8C" w14:textId="77777777" w:rsidR="00966C79" w:rsidRPr="00E039B2" w:rsidRDefault="00966C79" w:rsidP="00966C79">
      <w:pPr>
        <w:tabs>
          <w:tab w:val="left" w:pos="1560"/>
        </w:tabs>
        <w:spacing w:before="120" w:after="240" w:line="240" w:lineRule="auto"/>
        <w:ind w:left="1915" w:hanging="475"/>
        <w:jc w:val="both"/>
        <w:rPr>
          <w:rFonts w:ascii="Arial" w:eastAsia="Times New Roman" w:hAnsi="Arial" w:cs="Arial"/>
        </w:rPr>
      </w:pPr>
      <w:r w:rsidRPr="00E039B2">
        <w:rPr>
          <w:rFonts w:ascii="Arial" w:eastAsia="Times New Roman" w:hAnsi="Arial" w:cs="Arial"/>
          <w:b/>
        </w:rPr>
        <w:t>G.</w:t>
      </w:r>
      <w:r w:rsidRPr="00E039B2">
        <w:rPr>
          <w:rFonts w:ascii="Arial" w:eastAsia="Times New Roman" w:hAnsi="Arial" w:cs="Arial"/>
          <w:b/>
        </w:rPr>
        <w:tab/>
        <w:t xml:space="preserve">Receivables </w:t>
      </w:r>
      <w:r w:rsidRPr="00E039B2">
        <w:rPr>
          <w:rFonts w:ascii="Arial" w:eastAsia="Times New Roman" w:hAnsi="Arial" w:cs="Arial"/>
        </w:rPr>
        <w:t xml:space="preserve">- Receivables consist of amounts that have arisen in the ordinary course of business. </w:t>
      </w:r>
    </w:p>
    <w:p w14:paraId="1D50751E" w14:textId="77777777" w:rsidR="00966C79" w:rsidRPr="00E039B2" w:rsidRDefault="00966C79" w:rsidP="00966C79">
      <w:pPr>
        <w:tabs>
          <w:tab w:val="left" w:pos="1560"/>
        </w:tabs>
        <w:spacing w:after="240" w:line="240" w:lineRule="auto"/>
        <w:ind w:left="1915"/>
        <w:jc w:val="both"/>
        <w:rPr>
          <w:rFonts w:ascii="Arial" w:eastAsia="Times New Roman" w:hAnsi="Arial" w:cs="Arial"/>
          <w:color w:val="0000FF"/>
        </w:rPr>
      </w:pPr>
      <w:r w:rsidRPr="00E039B2">
        <w:rPr>
          <w:rFonts w:ascii="Arial" w:eastAsia="Times New Roman" w:hAnsi="Arial" w:cs="Arial"/>
        </w:rPr>
        <w:t>Accounts</w:t>
      </w:r>
      <w:r w:rsidRPr="00E039B2">
        <w:rPr>
          <w:rFonts w:ascii="Arial" w:eastAsia="Times New Roman" w:hAnsi="Arial" w:cs="Arial"/>
          <w:b/>
        </w:rPr>
        <w:t xml:space="preserve"> </w:t>
      </w:r>
      <w:r w:rsidRPr="00E039B2">
        <w:rPr>
          <w:rFonts w:ascii="Arial" w:eastAsia="Times New Roman" w:hAnsi="Arial" w:cs="Arial"/>
        </w:rPr>
        <w:t xml:space="preserve">receivable for the </w:t>
      </w:r>
      <w:r w:rsidRPr="00E039B2">
        <w:rPr>
          <w:rFonts w:ascii="Arial" w:eastAsia="Times New Roman" w:hAnsi="Arial" w:cs="Arial"/>
          <w:color w:val="0000FF"/>
        </w:rPr>
        <w:t xml:space="preserve">[governmental funds, proprietary funds, fiduciary funds] </w:t>
      </w:r>
      <w:r w:rsidRPr="00E039B2">
        <w:rPr>
          <w:rFonts w:ascii="Arial" w:eastAsia="Times New Roman" w:hAnsi="Arial" w:cs="Arial"/>
          <w:highlight w:val="yellow"/>
        </w:rPr>
        <w:t>primarily</w:t>
      </w:r>
      <w:r w:rsidRPr="00E039B2">
        <w:rPr>
          <w:rFonts w:ascii="Arial" w:eastAsia="Times New Roman" w:hAnsi="Arial" w:cs="Arial"/>
        </w:rPr>
        <w:t xml:space="preserve"> include amounts due from </w:t>
      </w:r>
      <w:r w:rsidRPr="00E039B2">
        <w:rPr>
          <w:rFonts w:ascii="Arial" w:eastAsia="Times New Roman" w:hAnsi="Arial" w:cs="Arial"/>
          <w:color w:val="0000FF"/>
        </w:rPr>
        <w:t>[</w:t>
      </w:r>
      <w:r w:rsidRPr="00E039B2">
        <w:rPr>
          <w:rFonts w:ascii="Arial" w:eastAsia="Times New Roman" w:hAnsi="Arial" w:cs="Arial"/>
          <w:i/>
          <w:color w:val="0000FF"/>
        </w:rPr>
        <w:t>Example:</w:t>
      </w:r>
      <w:r w:rsidRPr="00E039B2">
        <w:rPr>
          <w:rFonts w:ascii="Arial" w:eastAsia="Times New Roman" w:hAnsi="Arial" w:cs="Arial"/>
          <w:color w:val="0000FF"/>
        </w:rPr>
        <w:t xml:space="preserve"> individuals, companies, third party providers] </w:t>
      </w:r>
      <w:r w:rsidRPr="00E039B2">
        <w:rPr>
          <w:rFonts w:ascii="Arial" w:eastAsia="Times New Roman" w:hAnsi="Arial" w:cs="Arial"/>
        </w:rPr>
        <w:t xml:space="preserve">in connection with </w:t>
      </w:r>
      <w:r w:rsidRPr="00E039B2">
        <w:rPr>
          <w:rFonts w:ascii="Arial" w:eastAsia="Times New Roman" w:hAnsi="Arial" w:cs="Arial"/>
          <w:color w:val="0000FF"/>
        </w:rPr>
        <w:t>[describe]</w:t>
      </w:r>
      <w:r w:rsidRPr="00E039B2">
        <w:rPr>
          <w:rFonts w:ascii="Arial" w:eastAsia="Times New Roman" w:hAnsi="Arial" w:cs="Arial"/>
        </w:rPr>
        <w:t xml:space="preserve">. Receivables are considered fully collectible; accordingly, no allowance for doubtful accounts has been recorded. </w:t>
      </w:r>
      <w:r w:rsidRPr="00E039B2">
        <w:rPr>
          <w:rFonts w:ascii="Arial" w:eastAsia="Times New Roman" w:hAnsi="Arial" w:cs="Arial"/>
          <w:b/>
          <w:color w:val="0000FF"/>
        </w:rPr>
        <w:t xml:space="preserve">OR </w:t>
      </w:r>
      <w:r w:rsidRPr="00E039B2">
        <w:rPr>
          <w:rFonts w:ascii="Arial" w:eastAsia="Times New Roman" w:hAnsi="Arial" w:cs="Arial"/>
        </w:rPr>
        <w:t xml:space="preserve">Receivables are recorded net of estimated uncollectible amounts. </w:t>
      </w:r>
    </w:p>
    <w:p w14:paraId="32A9CFC6" w14:textId="77777777" w:rsidR="00966C79" w:rsidRPr="00E039B2" w:rsidRDefault="00966C79" w:rsidP="00966C79">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rPr>
        <w:t xml:space="preserve">Intergovernmental receivables for the </w:t>
      </w:r>
      <w:r w:rsidRPr="00E039B2">
        <w:rPr>
          <w:rFonts w:ascii="Arial" w:eastAsia="Times New Roman" w:hAnsi="Arial" w:cs="Arial"/>
          <w:color w:val="0000FF"/>
        </w:rPr>
        <w:t xml:space="preserve">[governmental funds, proprietary funds, fiduciary funds] </w:t>
      </w:r>
      <w:r w:rsidRPr="00E039B2">
        <w:rPr>
          <w:rFonts w:ascii="Arial" w:eastAsia="Times New Roman" w:hAnsi="Arial" w:cs="Arial"/>
        </w:rPr>
        <w:t xml:space="preserve">include amounts due from </w:t>
      </w:r>
      <w:r w:rsidRPr="00E039B2">
        <w:rPr>
          <w:rFonts w:ascii="Arial" w:eastAsia="Times New Roman" w:hAnsi="Arial" w:cs="Arial"/>
          <w:color w:val="0000FF"/>
        </w:rPr>
        <w:t>[</w:t>
      </w:r>
      <w:r w:rsidRPr="00E039B2">
        <w:rPr>
          <w:rFonts w:ascii="Arial" w:eastAsia="Times New Roman" w:hAnsi="Arial" w:cs="Arial"/>
          <w:i/>
          <w:color w:val="0000FF"/>
        </w:rPr>
        <w:t>Example:</w:t>
      </w:r>
      <w:r w:rsidRPr="00E039B2">
        <w:rPr>
          <w:rFonts w:ascii="Arial" w:eastAsia="Times New Roman" w:hAnsi="Arial" w:cs="Arial"/>
          <w:color w:val="0000FF"/>
        </w:rPr>
        <w:t xml:space="preserve"> the federal government, state and local governments]</w:t>
      </w:r>
      <w:r w:rsidRPr="00E039B2">
        <w:rPr>
          <w:rFonts w:ascii="Arial" w:eastAsia="Times New Roman" w:hAnsi="Arial" w:cs="Arial"/>
        </w:rPr>
        <w:t xml:space="preserve"> in connection with </w:t>
      </w:r>
      <w:r w:rsidRPr="00E039B2">
        <w:rPr>
          <w:rFonts w:ascii="Arial" w:eastAsia="Times New Roman" w:hAnsi="Arial" w:cs="Arial"/>
          <w:color w:val="0000FF"/>
        </w:rPr>
        <w:t>[describe]</w:t>
      </w:r>
      <w:r w:rsidRPr="00E039B2">
        <w:rPr>
          <w:rFonts w:ascii="Arial" w:eastAsia="Times New Roman" w:hAnsi="Arial" w:cs="Arial"/>
        </w:rPr>
        <w:t>. Receivables are considered fully collectible; accordingly, no allowance for doubtful accounts has been recorded.</w:t>
      </w:r>
      <w:r w:rsidRPr="00E039B2">
        <w:rPr>
          <w:rFonts w:ascii="Arial" w:eastAsia="Times New Roman" w:hAnsi="Arial" w:cs="Arial"/>
          <w:color w:val="0000FF"/>
        </w:rPr>
        <w:t xml:space="preserve"> </w:t>
      </w:r>
      <w:r w:rsidRPr="00E039B2">
        <w:rPr>
          <w:rFonts w:ascii="Arial" w:eastAsia="Times New Roman" w:hAnsi="Arial" w:cs="Arial"/>
          <w:b/>
          <w:color w:val="0000FF"/>
        </w:rPr>
        <w:t xml:space="preserve">OR </w:t>
      </w:r>
      <w:r w:rsidRPr="00E039B2">
        <w:rPr>
          <w:rFonts w:ascii="Arial" w:eastAsia="Times New Roman" w:hAnsi="Arial" w:cs="Arial"/>
        </w:rPr>
        <w:t xml:space="preserve">Receivables are recorded net of estimated uncollectible amounts. </w:t>
      </w:r>
    </w:p>
    <w:p w14:paraId="3794AA88" w14:textId="77777777" w:rsidR="00966C79" w:rsidRPr="00E039B2" w:rsidRDefault="00966C79" w:rsidP="00966C79">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[Modify above as necessary, based on the types and sources of receivables.]</w:t>
      </w:r>
    </w:p>
    <w:p w14:paraId="5D5F07CF"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bCs/>
        </w:rPr>
        <w:t>H.</w:t>
      </w:r>
      <w:r w:rsidRPr="00E039B2">
        <w:rPr>
          <w:rFonts w:ascii="Arial" w:eastAsia="Times New Roman" w:hAnsi="Arial" w:cs="Arial"/>
          <w:b/>
          <w:bCs/>
        </w:rPr>
        <w:tab/>
        <w:t xml:space="preserve">Due from/to </w:t>
      </w:r>
      <w:r w:rsidRPr="00E039B2">
        <w:rPr>
          <w:rFonts w:ascii="Arial" w:eastAsia="Times New Roman" w:hAnsi="Arial" w:cs="Arial"/>
          <w:b/>
          <w:bCs/>
          <w:color w:val="0000FF"/>
        </w:rPr>
        <w:t xml:space="preserve">[Other Funds, State Agencies, Component Units] </w:t>
      </w:r>
      <w:r w:rsidRPr="00E039B2">
        <w:rPr>
          <w:rFonts w:ascii="Arial" w:eastAsia="Times New Roman" w:hAnsi="Arial" w:cs="Arial"/>
          <w:bCs/>
        </w:rPr>
        <w:t>-</w:t>
      </w:r>
      <w:r w:rsidRPr="00E039B2">
        <w:rPr>
          <w:rFonts w:ascii="Arial" w:eastAsia="Times New Roman" w:hAnsi="Arial" w:cs="Arial"/>
          <w:b/>
          <w:bCs/>
        </w:rPr>
        <w:t xml:space="preserve"> </w:t>
      </w:r>
      <w:r w:rsidRPr="00E039B2">
        <w:rPr>
          <w:rFonts w:ascii="Arial" w:eastAsia="Times New Roman" w:hAnsi="Arial" w:cs="Arial"/>
        </w:rPr>
        <w:t xml:space="preserve">Activities between the </w:t>
      </w:r>
      <w:r w:rsidRPr="00E039B2">
        <w:rPr>
          <w:rFonts w:ascii="Arial" w:eastAsia="Times New Roman" w:hAnsi="Arial" w:cs="Arial"/>
          <w:color w:val="0000FF"/>
        </w:rPr>
        <w:t>[Department’s funds, State agencies, Component Units]</w:t>
      </w:r>
      <w:r w:rsidRPr="00E039B2">
        <w:rPr>
          <w:rFonts w:ascii="Arial" w:eastAsia="Times New Roman" w:hAnsi="Arial" w:cs="Arial"/>
        </w:rPr>
        <w:t xml:space="preserve"> are composed of amounts due from or due to </w:t>
      </w:r>
      <w:r w:rsidRPr="00E039B2">
        <w:rPr>
          <w:rFonts w:ascii="Arial" w:eastAsia="Times New Roman" w:hAnsi="Arial" w:cs="Arial"/>
          <w:color w:val="0000FF"/>
        </w:rPr>
        <w:t>[other funds of the Department, State agencies, Component Units]</w:t>
      </w:r>
      <w:r w:rsidRPr="00E039B2">
        <w:rPr>
          <w:rFonts w:ascii="Arial" w:eastAsia="Times New Roman" w:hAnsi="Arial" w:cs="Arial"/>
        </w:rPr>
        <w:t>. All amounts are considered collectible; accordingly, no allowance for doubtful accounts has been recorded.</w:t>
      </w:r>
      <w:r w:rsidRPr="00E039B2">
        <w:rPr>
          <w:rFonts w:ascii="Arial" w:eastAsia="Times New Roman" w:hAnsi="Arial" w:cs="Arial"/>
          <w:b/>
          <w:i/>
          <w:color w:val="0000FF"/>
        </w:rPr>
        <w:t xml:space="preserve"> [Modify as deemed necessary.]</w:t>
      </w:r>
    </w:p>
    <w:p w14:paraId="21BB7953"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I.</w:t>
      </w:r>
      <w:r w:rsidRPr="00E039B2">
        <w:rPr>
          <w:rFonts w:ascii="Arial" w:eastAsia="Times New Roman" w:hAnsi="Arial" w:cs="Arial"/>
          <w:b/>
        </w:rPr>
        <w:tab/>
        <w:t xml:space="preserve">Inventories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Inventories, consisting of </w:t>
      </w:r>
      <w:r w:rsidRPr="00E039B2">
        <w:rPr>
          <w:rFonts w:ascii="Arial" w:eastAsia="Times New Roman" w:hAnsi="Arial" w:cs="Arial"/>
          <w:color w:val="0000FF"/>
        </w:rPr>
        <w:t>[general supplies and materials]</w:t>
      </w:r>
      <w:r w:rsidRPr="00E039B2">
        <w:rPr>
          <w:rFonts w:ascii="Arial" w:eastAsia="Times New Roman" w:hAnsi="Arial" w:cs="Arial"/>
        </w:rPr>
        <w:t xml:space="preserve">, are valued at cost using the </w:t>
      </w:r>
      <w:r w:rsidRPr="00E039B2">
        <w:rPr>
          <w:rFonts w:ascii="Arial" w:eastAsia="Times New Roman" w:hAnsi="Arial" w:cs="Arial"/>
          <w:color w:val="0000FF"/>
        </w:rPr>
        <w:t>[first-in, first-out (FIFO) or average cost method]</w:t>
      </w:r>
      <w:r w:rsidRPr="00E039B2">
        <w:rPr>
          <w:rFonts w:ascii="Arial" w:eastAsia="Times New Roman" w:hAnsi="Arial" w:cs="Arial"/>
        </w:rPr>
        <w:t xml:space="preserve">. Inventories of the </w:t>
      </w:r>
      <w:r w:rsidRPr="00E039B2">
        <w:rPr>
          <w:rFonts w:ascii="Arial" w:eastAsia="Times New Roman" w:hAnsi="Arial" w:cs="Arial"/>
          <w:color w:val="0000FF"/>
        </w:rPr>
        <w:t xml:space="preserve">[governmental funds] </w:t>
      </w:r>
      <w:r w:rsidRPr="00E039B2">
        <w:rPr>
          <w:rFonts w:ascii="Arial" w:eastAsia="Times New Roman" w:hAnsi="Arial" w:cs="Arial"/>
        </w:rPr>
        <w:t xml:space="preserve">are recorded as expenditures when consumed rather than when purchased. </w:t>
      </w:r>
      <w:r w:rsidRPr="00E039B2">
        <w:rPr>
          <w:rFonts w:ascii="Arial" w:eastAsia="Times New Roman" w:hAnsi="Arial" w:cs="Arial"/>
          <w:b/>
          <w:i/>
          <w:color w:val="0000FF"/>
        </w:rPr>
        <w:t>[Modify as deemed necessary.]</w:t>
      </w:r>
    </w:p>
    <w:p w14:paraId="302A38EC" w14:textId="77777777" w:rsidR="00966C79" w:rsidRPr="00E039B2" w:rsidRDefault="00966C79" w:rsidP="00966C79">
      <w:pPr>
        <w:spacing w:after="240" w:line="240" w:lineRule="auto"/>
        <w:ind w:left="1890" w:hanging="450"/>
        <w:jc w:val="both"/>
        <w:rPr>
          <w:rFonts w:ascii="Arial" w:eastAsia="Times New Roman" w:hAnsi="Arial" w:cs="Arial"/>
        </w:rPr>
      </w:pPr>
      <w:r w:rsidRPr="00E039B2">
        <w:rPr>
          <w:rFonts w:ascii="Arial" w:eastAsia="Times New Roman" w:hAnsi="Arial" w:cs="Arial"/>
          <w:b/>
        </w:rPr>
        <w:t>J.</w:t>
      </w:r>
      <w:r w:rsidRPr="00E039B2">
        <w:rPr>
          <w:rFonts w:ascii="Arial" w:eastAsia="Times New Roman" w:hAnsi="Arial" w:cs="Arial"/>
          <w:b/>
        </w:rPr>
        <w:tab/>
        <w:t xml:space="preserve">Capital Assets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 xml:space="preserve">[Note to preparer: This section only applies to proprietary funds. For department’s with governmental funds only, capital assets are not reported on the face of the financial statements; therefore, this is not considered a significant accounting policy. Move this information to the capital asset note disclosure.] </w:t>
      </w:r>
      <w:r w:rsidRPr="00E039B2">
        <w:rPr>
          <w:rFonts w:ascii="Arial" w:eastAsia="Times New Roman" w:hAnsi="Arial" w:cs="Arial"/>
        </w:rPr>
        <w:t xml:space="preserve">Capital assets, which include property, plant, and equipment, are reported as expenditures in the governmental funds. Consequently, capital asset balances are not reported on the face of the governmental funds’ financial statements, but are reported in Note </w:t>
      </w:r>
      <w:r w:rsidRPr="00E039B2">
        <w:rPr>
          <w:rFonts w:ascii="Arial" w:eastAsia="Times New Roman" w:hAnsi="Arial" w:cs="Arial"/>
          <w:b/>
          <w:color w:val="0000FF"/>
        </w:rPr>
        <w:t>XX</w:t>
      </w:r>
      <w:r w:rsidRPr="00E039B2">
        <w:rPr>
          <w:rFonts w:ascii="Arial" w:eastAsia="Times New Roman" w:hAnsi="Arial" w:cs="Arial"/>
          <w:color w:val="0000FF"/>
        </w:rPr>
        <w:t xml:space="preserve"> </w:t>
      </w:r>
      <w:r w:rsidRPr="00E039B2">
        <w:rPr>
          <w:rFonts w:ascii="Arial" w:eastAsia="Times New Roman" w:hAnsi="Arial" w:cs="Arial"/>
        </w:rPr>
        <w:t>of the Department’s Notes to the Financial Statements. Capital assets are reported on the face of the proprietary fund financial statements.</w:t>
      </w:r>
      <w:r w:rsidRPr="00E039B2">
        <w:rPr>
          <w:rFonts w:ascii="Arial" w:eastAsia="Times New Roman" w:hAnsi="Arial" w:cs="Arial"/>
          <w:b/>
          <w:i/>
          <w:color w:val="0000FF"/>
        </w:rPr>
        <w:t xml:space="preserve"> [Delete sentence if no proprietary funds.]</w:t>
      </w:r>
      <w:r w:rsidRPr="00E039B2">
        <w:rPr>
          <w:rFonts w:ascii="Arial" w:eastAsia="Times New Roman" w:hAnsi="Arial" w:cs="Arial"/>
        </w:rPr>
        <w:t xml:space="preserve"> </w:t>
      </w:r>
    </w:p>
    <w:p w14:paraId="5ED6926B" w14:textId="5BB9A294" w:rsidR="00966C79" w:rsidRPr="00E039B2" w:rsidRDefault="00966C79" w:rsidP="00966C79">
      <w:pPr>
        <w:spacing w:after="240" w:line="240" w:lineRule="auto"/>
        <w:ind w:left="1890"/>
        <w:jc w:val="both"/>
        <w:rPr>
          <w:rFonts w:ascii="Arial" w:eastAsia="Times New Roman" w:hAnsi="Arial" w:cs="Arial"/>
          <w:b/>
          <w:i/>
          <w:color w:val="0000FF"/>
        </w:rPr>
      </w:pPr>
      <w:r w:rsidRPr="00E039B2">
        <w:rPr>
          <w:rFonts w:ascii="Arial" w:eastAsia="Times New Roman" w:hAnsi="Arial" w:cs="Arial"/>
        </w:rPr>
        <w:t xml:space="preserve">Purchased or constructed capital assets are reported at cost or estimated historical cost. The cost of normal maintenance and repairs that do not add to the value of the asset or materially extend its useful life are not </w:t>
      </w:r>
      <w:r w:rsidRPr="00E039B2">
        <w:rPr>
          <w:rFonts w:ascii="Arial" w:eastAsia="Times New Roman" w:hAnsi="Arial" w:cs="Arial"/>
        </w:rPr>
        <w:lastRenderedPageBreak/>
        <w:t xml:space="preserve">capitalized. Donated capital assets are recorded at acquisition value at the date of donation except that capital assets donated prior to July 1, 2015 are recorded at their estimated fair value at the date of donation. </w:t>
      </w:r>
      <w:r w:rsidRPr="00E039B2">
        <w:rPr>
          <w:rFonts w:ascii="Arial" w:eastAsia="Times New Roman" w:hAnsi="Arial" w:cs="Arial"/>
          <w:b/>
          <w:i/>
          <w:color w:val="0000FF"/>
        </w:rPr>
        <w:t>[Modify as necessary.]</w:t>
      </w:r>
    </w:p>
    <w:p w14:paraId="68BC0728" w14:textId="417A80D3" w:rsidR="00966C79" w:rsidRPr="00E039B2" w:rsidRDefault="00966C79" w:rsidP="00966C79">
      <w:pPr>
        <w:tabs>
          <w:tab w:val="left" w:pos="1560"/>
        </w:tabs>
        <w:spacing w:after="240" w:line="240" w:lineRule="auto"/>
        <w:ind w:left="1915"/>
        <w:jc w:val="both"/>
        <w:rPr>
          <w:rFonts w:ascii="Arial" w:eastAsia="Times New Roman" w:hAnsi="Arial" w:cs="Arial"/>
          <w:b/>
          <w:color w:val="0000FF"/>
        </w:rPr>
      </w:pPr>
      <w:r w:rsidRPr="00E039B2">
        <w:rPr>
          <w:rFonts w:ascii="Arial" w:eastAsia="Times New Roman" w:hAnsi="Arial" w:cs="Arial"/>
        </w:rPr>
        <w:t xml:space="preserve">Generally, capital assets are defined by the Department as assets with an initial value or cost greater than or equal to $5,000 and an estimated useful life of two or more years, except for internally generated computer software which is capitalized when the value or cost is greater than or equal to $1,000,000. The value of assets constructed includes all material direct and indirect construction costs. </w:t>
      </w:r>
      <w:r w:rsidRPr="00E039B2">
        <w:rPr>
          <w:rFonts w:ascii="Arial" w:eastAsia="Times New Roman" w:hAnsi="Arial" w:cs="Arial"/>
          <w:b/>
          <w:i/>
          <w:color w:val="0000FF"/>
        </w:rPr>
        <w:t>[Note to preparer: Adjust to the Department’s specific capitalization policy.]</w:t>
      </w:r>
    </w:p>
    <w:p w14:paraId="106B8624" w14:textId="77777777" w:rsidR="00966C79" w:rsidRPr="00E039B2" w:rsidRDefault="00966C79" w:rsidP="00966C79">
      <w:pPr>
        <w:tabs>
          <w:tab w:val="left" w:pos="1560"/>
        </w:tabs>
        <w:spacing w:after="240" w:line="240" w:lineRule="auto"/>
        <w:ind w:left="1915"/>
        <w:jc w:val="both"/>
        <w:rPr>
          <w:rFonts w:ascii="Arial" w:eastAsia="Times New Roman" w:hAnsi="Arial" w:cs="Arial"/>
          <w:highlight w:val="yellow"/>
        </w:rPr>
      </w:pPr>
      <w:r w:rsidRPr="00E039B2">
        <w:rPr>
          <w:rFonts w:ascii="Arial" w:eastAsia="Times New Roman" w:hAnsi="Arial" w:cs="Arial"/>
        </w:rPr>
        <w:t xml:space="preserve">Depreciation and amortization </w:t>
      </w:r>
      <w:proofErr w:type="gramStart"/>
      <w:r w:rsidRPr="00E039B2">
        <w:rPr>
          <w:rFonts w:ascii="Arial" w:eastAsia="Times New Roman" w:hAnsi="Arial" w:cs="Arial"/>
        </w:rPr>
        <w:t>is</w:t>
      </w:r>
      <w:proofErr w:type="gramEnd"/>
      <w:r w:rsidRPr="00E039B2">
        <w:rPr>
          <w:rFonts w:ascii="Arial" w:eastAsia="Times New Roman" w:hAnsi="Arial" w:cs="Arial"/>
        </w:rPr>
        <w:t xml:space="preserve">/are recorded at the statewide level for governmental funds. Depreciation and amortization </w:t>
      </w:r>
      <w:proofErr w:type="gramStart"/>
      <w:r w:rsidRPr="00E039B2">
        <w:rPr>
          <w:rFonts w:ascii="Arial" w:eastAsia="Times New Roman" w:hAnsi="Arial" w:cs="Arial"/>
        </w:rPr>
        <w:t>is</w:t>
      </w:r>
      <w:proofErr w:type="gramEnd"/>
      <w:r w:rsidRPr="00E039B2">
        <w:rPr>
          <w:rFonts w:ascii="Arial" w:eastAsia="Times New Roman" w:hAnsi="Arial" w:cs="Arial"/>
        </w:rPr>
        <w:t>/are computed using the straight-line method over the estimated useful lives of the assets in the following manner:</w:t>
      </w:r>
      <w:r w:rsidRPr="00E039B2">
        <w:rPr>
          <w:rFonts w:ascii="Arial" w:eastAsia="Times New Roman" w:hAnsi="Arial" w:cs="Arial"/>
          <w:b/>
          <w:i/>
          <w:color w:val="0000FF"/>
        </w:rPr>
        <w:t xml:space="preserve"> [Note: Remove ‘and amortization’ if it is not applicable to your entity]</w:t>
      </w:r>
    </w:p>
    <w:p w14:paraId="0805C92E" w14:textId="77777777" w:rsidR="00966C79" w:rsidRPr="00E039B2" w:rsidRDefault="00966C79" w:rsidP="00966C79">
      <w:pPr>
        <w:spacing w:after="240" w:line="240" w:lineRule="auto"/>
        <w:ind w:left="1915"/>
        <w:jc w:val="center"/>
        <w:rPr>
          <w:rFonts w:ascii="Arial" w:eastAsia="Times New Roman" w:hAnsi="Arial" w:cs="Arial"/>
          <w:b/>
          <w:bCs/>
          <w:i/>
          <w:iCs/>
          <w:color w:val="0000FF"/>
        </w:rPr>
      </w:pPr>
      <w:r w:rsidRPr="00E039B2">
        <w:rPr>
          <w:rFonts w:ascii="Times New Roman" w:eastAsia="Times New Roman" w:hAnsi="Times New Roman" w:cs="Times New Roman"/>
        </w:rPr>
        <w:object w:dxaOrig="4977" w:dyaOrig="1885" w14:anchorId="3FD45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101.25pt" o:ole="">
            <v:imagedata r:id="rId11" o:title=""/>
          </v:shape>
          <o:OLEObject Type="Embed" ProgID="Excel.Sheet.12" ShapeID="_x0000_i1025" DrawAspect="Content" ObjectID="_1661757454" r:id="rId12"/>
        </w:object>
      </w:r>
    </w:p>
    <w:p w14:paraId="6103A2BB" w14:textId="7B9EF0D0"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bCs/>
          <w:i/>
          <w:iCs/>
          <w:color w:val="0000FF"/>
        </w:rPr>
        <w:t xml:space="preserve">[Modify as necessary.] </w:t>
      </w:r>
    </w:p>
    <w:p w14:paraId="6386C28A"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The Department does not capitalize the </w:t>
      </w:r>
      <w:r w:rsidRPr="00E039B2">
        <w:rPr>
          <w:rFonts w:ascii="Arial" w:eastAsia="Times New Roman" w:hAnsi="Arial" w:cs="Arial"/>
          <w:b/>
          <w:bCs/>
          <w:iCs/>
          <w:color w:val="0000FF"/>
        </w:rPr>
        <w:t>[fill in the title]</w:t>
      </w:r>
      <w:r w:rsidRPr="00E039B2">
        <w:rPr>
          <w:rFonts w:ascii="Arial" w:eastAsia="Times New Roman" w:hAnsi="Arial" w:cs="Arial"/>
          <w:b/>
          <w:bCs/>
          <w:i/>
          <w:iCs/>
        </w:rPr>
        <w:t xml:space="preserve"> </w:t>
      </w:r>
      <w:r w:rsidRPr="00E039B2">
        <w:rPr>
          <w:rFonts w:ascii="Arial" w:eastAsia="Times New Roman" w:hAnsi="Arial" w:cs="Arial"/>
        </w:rPr>
        <w:t>collection</w:t>
      </w:r>
      <w:r w:rsidRPr="00E039B2">
        <w:rPr>
          <w:rFonts w:ascii="Arial" w:eastAsia="Times New Roman" w:hAnsi="Arial" w:cs="Arial"/>
          <w:bCs/>
          <w:i/>
          <w:iCs/>
        </w:rPr>
        <w:t>(s)</w:t>
      </w:r>
      <w:r w:rsidRPr="00E039B2">
        <w:rPr>
          <w:rFonts w:ascii="Arial" w:eastAsia="Times New Roman" w:hAnsi="Arial" w:cs="Arial"/>
        </w:rPr>
        <w:t>. This/</w:t>
      </w:r>
      <w:r w:rsidRPr="00E039B2">
        <w:rPr>
          <w:rFonts w:ascii="Arial" w:eastAsia="Times New Roman" w:hAnsi="Arial" w:cs="Arial"/>
          <w:i/>
        </w:rPr>
        <w:t>(These)</w:t>
      </w:r>
      <w:r w:rsidRPr="00E039B2">
        <w:rPr>
          <w:rFonts w:ascii="Arial" w:eastAsia="Times New Roman" w:hAnsi="Arial" w:cs="Arial"/>
        </w:rPr>
        <w:t xml:space="preserve"> collection</w:t>
      </w:r>
      <w:r w:rsidRPr="00E039B2">
        <w:rPr>
          <w:rFonts w:ascii="Arial" w:eastAsia="Times New Roman" w:hAnsi="Arial" w:cs="Arial"/>
          <w:i/>
        </w:rPr>
        <w:t>(s)</w:t>
      </w:r>
      <w:r w:rsidRPr="00E039B2">
        <w:rPr>
          <w:rFonts w:ascii="Arial" w:eastAsia="Times New Roman" w:hAnsi="Arial" w:cs="Arial"/>
        </w:rPr>
        <w:t xml:space="preserve"> adhere</w:t>
      </w:r>
      <w:r w:rsidRPr="00E039B2">
        <w:rPr>
          <w:rFonts w:ascii="Arial" w:eastAsia="Times New Roman" w:hAnsi="Arial" w:cs="Arial"/>
          <w:i/>
        </w:rPr>
        <w:t>(s)</w:t>
      </w:r>
      <w:r w:rsidRPr="00E039B2">
        <w:rPr>
          <w:rFonts w:ascii="Arial" w:eastAsia="Times New Roman" w:hAnsi="Arial" w:cs="Arial"/>
        </w:rPr>
        <w:t xml:space="preserve"> to the Department’s policy to </w:t>
      </w:r>
      <w:r w:rsidRPr="00E039B2">
        <w:rPr>
          <w:rFonts w:ascii="Arial" w:eastAsia="Times New Roman" w:hAnsi="Arial" w:cs="Arial"/>
          <w:highlight w:val="yellow"/>
        </w:rPr>
        <w:t>adequately</w:t>
      </w:r>
      <w:r w:rsidRPr="00E039B2">
        <w:rPr>
          <w:rFonts w:ascii="Arial" w:eastAsia="Times New Roman" w:hAnsi="Arial" w:cs="Arial"/>
        </w:rPr>
        <w:t xml:space="preserve"> maintain for </w:t>
      </w:r>
      <w:r w:rsidRPr="00E039B2">
        <w:rPr>
          <w:rFonts w:ascii="Arial" w:eastAsia="Times New Roman" w:hAnsi="Arial" w:cs="Arial"/>
          <w:color w:val="0000FF"/>
        </w:rPr>
        <w:t>[public exhibition, education, or research; protect, keep encumbered, care for, and preserve; and require proceeds from their sale to be used to acquire other collection items]</w:t>
      </w:r>
      <w:r w:rsidRPr="00E039B2">
        <w:rPr>
          <w:rFonts w:ascii="Arial" w:eastAsia="Times New Roman" w:hAnsi="Arial" w:cs="Arial"/>
        </w:rPr>
        <w:t xml:space="preserve">. </w:t>
      </w:r>
      <w:r w:rsidRPr="00E039B2">
        <w:rPr>
          <w:rFonts w:ascii="Arial" w:eastAsia="Times New Roman" w:hAnsi="Arial" w:cs="Arial"/>
          <w:b/>
          <w:bCs/>
          <w:i/>
          <w:iCs/>
          <w:color w:val="0000FF"/>
        </w:rPr>
        <w:t>[Modify as necessary.]</w:t>
      </w:r>
      <w:r w:rsidRPr="00E039B2">
        <w:rPr>
          <w:rFonts w:ascii="Arial" w:eastAsia="Times New Roman" w:hAnsi="Arial" w:cs="Arial"/>
          <w:b/>
          <w:bCs/>
          <w:i/>
          <w:iCs/>
        </w:rPr>
        <w:t xml:space="preserve"> </w:t>
      </w:r>
      <w:r w:rsidRPr="00E039B2">
        <w:rPr>
          <w:rFonts w:ascii="Arial" w:eastAsia="Times New Roman" w:hAnsi="Arial" w:cs="Arial"/>
        </w:rPr>
        <w:t>Accounting principles generally accepted in the United States of America permit collections maintained in this manner to be charged to operations at time of purchase rather than be capitalized.</w:t>
      </w:r>
    </w:p>
    <w:p w14:paraId="43E20378" w14:textId="77777777" w:rsidR="00966C79" w:rsidRPr="00E039B2" w:rsidRDefault="00966C79" w:rsidP="00966C79">
      <w:pPr>
        <w:spacing w:after="240" w:line="240" w:lineRule="auto"/>
        <w:ind w:left="1915"/>
        <w:jc w:val="center"/>
        <w:rPr>
          <w:rFonts w:ascii="Arial" w:eastAsia="Times New Roman" w:hAnsi="Arial" w:cs="Arial"/>
          <w:b/>
          <w:bCs/>
          <w:i/>
          <w:iCs/>
          <w:color w:val="0000FF"/>
        </w:rPr>
      </w:pPr>
      <w:r w:rsidRPr="00E039B2">
        <w:rPr>
          <w:rFonts w:ascii="Arial" w:eastAsia="Times New Roman" w:hAnsi="Arial" w:cs="Arial"/>
          <w:b/>
          <w:bCs/>
          <w:i/>
          <w:iCs/>
          <w:color w:val="0000FF"/>
        </w:rPr>
        <w:t>AND/OR</w:t>
      </w:r>
    </w:p>
    <w:p w14:paraId="50ABFC8B"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The </w:t>
      </w:r>
      <w:r w:rsidRPr="00E039B2">
        <w:rPr>
          <w:rFonts w:ascii="Arial" w:eastAsia="Times New Roman" w:hAnsi="Arial" w:cs="Arial"/>
          <w:b/>
          <w:bCs/>
          <w:iCs/>
          <w:color w:val="0000FF"/>
        </w:rPr>
        <w:t>[fill in the title]</w:t>
      </w:r>
      <w:r w:rsidRPr="00E039B2">
        <w:rPr>
          <w:rFonts w:ascii="Arial" w:eastAsia="Times New Roman" w:hAnsi="Arial" w:cs="Arial"/>
          <w:b/>
          <w:bCs/>
          <w:i/>
          <w:iCs/>
        </w:rPr>
        <w:t xml:space="preserve"> </w:t>
      </w:r>
      <w:r w:rsidRPr="00E039B2">
        <w:rPr>
          <w:rFonts w:ascii="Arial" w:eastAsia="Times New Roman" w:hAnsi="Arial" w:cs="Arial"/>
        </w:rPr>
        <w:t>collection</w:t>
      </w:r>
      <w:r w:rsidRPr="00E039B2">
        <w:rPr>
          <w:rFonts w:ascii="Arial" w:eastAsia="Times New Roman" w:hAnsi="Arial" w:cs="Arial"/>
          <w:bCs/>
          <w:i/>
          <w:iCs/>
        </w:rPr>
        <w:t>(s)</w:t>
      </w:r>
      <w:r w:rsidRPr="00E039B2">
        <w:rPr>
          <w:rFonts w:ascii="Arial" w:eastAsia="Times New Roman" w:hAnsi="Arial" w:cs="Arial"/>
        </w:rPr>
        <w:t xml:space="preserve"> is/</w:t>
      </w:r>
      <w:r w:rsidRPr="00E039B2">
        <w:rPr>
          <w:rFonts w:ascii="Arial" w:eastAsia="Times New Roman" w:hAnsi="Arial" w:cs="Arial"/>
          <w:i/>
        </w:rPr>
        <w:t>are</w:t>
      </w:r>
      <w:r w:rsidRPr="00E039B2">
        <w:rPr>
          <w:rFonts w:ascii="Arial" w:eastAsia="Times New Roman" w:hAnsi="Arial" w:cs="Arial"/>
        </w:rPr>
        <w:t xml:space="preserve"> capitalized at cost or acquisition value at the date of donation. Donated capital assets acquired prior to July 1, 2015 are stated at fair value as of the date of donation. This/</w:t>
      </w:r>
      <w:r w:rsidRPr="00E039B2">
        <w:rPr>
          <w:rFonts w:ascii="Arial" w:eastAsia="Times New Roman" w:hAnsi="Arial" w:cs="Arial"/>
          <w:i/>
        </w:rPr>
        <w:t>(These)</w:t>
      </w:r>
      <w:r w:rsidRPr="00E039B2">
        <w:rPr>
          <w:rFonts w:ascii="Arial" w:eastAsia="Times New Roman" w:hAnsi="Arial" w:cs="Arial"/>
        </w:rPr>
        <w:t xml:space="preserve"> collection</w:t>
      </w:r>
      <w:r w:rsidRPr="00E039B2">
        <w:rPr>
          <w:rFonts w:ascii="Arial" w:eastAsia="Times New Roman" w:hAnsi="Arial" w:cs="Arial"/>
          <w:i/>
        </w:rPr>
        <w:t>(s)</w:t>
      </w:r>
      <w:r w:rsidRPr="00E039B2">
        <w:rPr>
          <w:rFonts w:ascii="Arial" w:eastAsia="Times New Roman" w:hAnsi="Arial" w:cs="Arial"/>
        </w:rPr>
        <w:t xml:space="preserve"> is/</w:t>
      </w:r>
      <w:r w:rsidRPr="00E039B2">
        <w:rPr>
          <w:rFonts w:ascii="Arial" w:eastAsia="Times New Roman" w:hAnsi="Arial" w:cs="Arial"/>
          <w:i/>
        </w:rPr>
        <w:t>are</w:t>
      </w:r>
      <w:r w:rsidRPr="00E039B2">
        <w:rPr>
          <w:rFonts w:ascii="Arial" w:eastAsia="Times New Roman" w:hAnsi="Arial" w:cs="Arial"/>
        </w:rPr>
        <w:t xml:space="preserve"> depreciated over the life of the collection using the straight-line </w:t>
      </w:r>
      <w:r w:rsidRPr="00E039B2">
        <w:rPr>
          <w:rFonts w:ascii="Arial" w:eastAsia="Times New Roman" w:hAnsi="Arial" w:cs="Arial"/>
          <w:b/>
          <w:bCs/>
          <w:i/>
          <w:iCs/>
          <w:color w:val="0000FF"/>
        </w:rPr>
        <w:t>[or other, describe]</w:t>
      </w:r>
      <w:r w:rsidRPr="00E039B2">
        <w:rPr>
          <w:rFonts w:ascii="Arial" w:eastAsia="Times New Roman" w:hAnsi="Arial" w:cs="Arial"/>
        </w:rPr>
        <w:t xml:space="preserve"> method. The estimated useful life/</w:t>
      </w:r>
      <w:r w:rsidRPr="00E039B2">
        <w:rPr>
          <w:rFonts w:ascii="Arial" w:eastAsia="Times New Roman" w:hAnsi="Arial" w:cs="Arial"/>
          <w:i/>
        </w:rPr>
        <w:t>(lives)</w:t>
      </w:r>
      <w:r w:rsidRPr="00E039B2">
        <w:rPr>
          <w:rFonts w:ascii="Arial" w:eastAsia="Times New Roman" w:hAnsi="Arial" w:cs="Arial"/>
        </w:rPr>
        <w:t xml:space="preserve"> for the collection</w:t>
      </w:r>
      <w:r w:rsidRPr="00E039B2">
        <w:rPr>
          <w:rFonts w:ascii="Arial" w:eastAsia="Times New Roman" w:hAnsi="Arial" w:cs="Arial"/>
          <w:i/>
        </w:rPr>
        <w:t>(s)</w:t>
      </w:r>
      <w:r w:rsidRPr="00E039B2">
        <w:rPr>
          <w:rFonts w:ascii="Arial" w:eastAsia="Times New Roman" w:hAnsi="Arial" w:cs="Arial"/>
        </w:rPr>
        <w:t xml:space="preserve"> is/</w:t>
      </w:r>
      <w:r w:rsidRPr="00E039B2">
        <w:rPr>
          <w:rFonts w:ascii="Arial" w:eastAsia="Times New Roman" w:hAnsi="Arial" w:cs="Arial"/>
          <w:i/>
        </w:rPr>
        <w:t>are</w:t>
      </w:r>
      <w:r w:rsidRPr="00E039B2">
        <w:rPr>
          <w:rFonts w:ascii="Arial" w:eastAsia="Times New Roman" w:hAnsi="Arial" w:cs="Arial"/>
        </w:rPr>
        <w:t xml:space="preserve"> </w:t>
      </w:r>
      <w:r w:rsidRPr="00E039B2">
        <w:rPr>
          <w:rFonts w:ascii="Arial" w:eastAsia="Times New Roman" w:hAnsi="Arial" w:cs="Arial"/>
          <w:b/>
          <w:bCs/>
          <w:iCs/>
          <w:color w:val="0000FF"/>
        </w:rPr>
        <w:t>[fill in years]</w:t>
      </w:r>
      <w:r w:rsidRPr="00E039B2">
        <w:rPr>
          <w:rFonts w:ascii="Arial" w:eastAsia="Times New Roman" w:hAnsi="Arial" w:cs="Arial"/>
          <w:color w:val="0000FF"/>
        </w:rPr>
        <w:t>.</w:t>
      </w:r>
    </w:p>
    <w:p w14:paraId="71043430" w14:textId="77777777" w:rsidR="00966C79" w:rsidRPr="00E039B2" w:rsidRDefault="00966C79" w:rsidP="00966C79">
      <w:pPr>
        <w:spacing w:after="240" w:line="240" w:lineRule="auto"/>
        <w:ind w:left="1915"/>
        <w:jc w:val="center"/>
        <w:rPr>
          <w:rFonts w:ascii="Arial" w:eastAsia="Times New Roman" w:hAnsi="Arial" w:cs="Arial"/>
          <w:b/>
          <w:bCs/>
          <w:i/>
          <w:iCs/>
          <w:color w:val="0000FF"/>
        </w:rPr>
      </w:pPr>
      <w:r w:rsidRPr="00E039B2">
        <w:rPr>
          <w:rFonts w:ascii="Arial" w:eastAsia="Times New Roman" w:hAnsi="Arial" w:cs="Arial"/>
          <w:b/>
          <w:bCs/>
          <w:i/>
          <w:iCs/>
          <w:color w:val="0000FF"/>
        </w:rPr>
        <w:t>OR</w:t>
      </w:r>
    </w:p>
    <w:p w14:paraId="49531185"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lastRenderedPageBreak/>
        <w:t xml:space="preserve">The </w:t>
      </w:r>
      <w:r w:rsidRPr="00E039B2">
        <w:rPr>
          <w:rFonts w:ascii="Arial" w:eastAsia="Times New Roman" w:hAnsi="Arial" w:cs="Arial"/>
          <w:b/>
          <w:bCs/>
          <w:iCs/>
          <w:color w:val="0000FF"/>
        </w:rPr>
        <w:t>[fill in the title]</w:t>
      </w:r>
      <w:r w:rsidRPr="00E039B2">
        <w:rPr>
          <w:rFonts w:ascii="Arial" w:eastAsia="Times New Roman" w:hAnsi="Arial" w:cs="Arial"/>
          <w:b/>
          <w:bCs/>
          <w:iCs/>
        </w:rPr>
        <w:t xml:space="preserve"> </w:t>
      </w:r>
      <w:r w:rsidRPr="00E039B2">
        <w:rPr>
          <w:rFonts w:ascii="Arial" w:eastAsia="Times New Roman" w:hAnsi="Arial" w:cs="Arial"/>
        </w:rPr>
        <w:t>collection</w:t>
      </w:r>
      <w:r w:rsidRPr="00E039B2">
        <w:rPr>
          <w:rFonts w:ascii="Arial" w:eastAsia="Times New Roman" w:hAnsi="Arial" w:cs="Arial"/>
          <w:bCs/>
          <w:i/>
          <w:iCs/>
        </w:rPr>
        <w:t>(s)</w:t>
      </w:r>
      <w:r w:rsidRPr="00E039B2">
        <w:rPr>
          <w:rFonts w:ascii="Arial" w:eastAsia="Times New Roman" w:hAnsi="Arial" w:cs="Arial"/>
        </w:rPr>
        <w:t xml:space="preserve"> is/</w:t>
      </w:r>
      <w:r w:rsidRPr="00E039B2">
        <w:rPr>
          <w:rFonts w:ascii="Arial" w:eastAsia="Times New Roman" w:hAnsi="Arial" w:cs="Arial"/>
          <w:i/>
        </w:rPr>
        <w:t>are</w:t>
      </w:r>
      <w:r w:rsidRPr="00E039B2">
        <w:rPr>
          <w:rFonts w:ascii="Arial" w:eastAsia="Times New Roman" w:hAnsi="Arial" w:cs="Arial"/>
        </w:rPr>
        <w:t xml:space="preserve"> capitalized at cost or acquisition value at the date of donation. Donated capital assets acquired prior to July 1, 2015 are stated at fair value as of the date of donation. This/</w:t>
      </w:r>
      <w:r w:rsidRPr="00E039B2">
        <w:rPr>
          <w:rFonts w:ascii="Arial" w:eastAsia="Times New Roman" w:hAnsi="Arial" w:cs="Arial"/>
          <w:i/>
        </w:rPr>
        <w:t>(These)</w:t>
      </w:r>
      <w:r w:rsidRPr="00E039B2">
        <w:rPr>
          <w:rFonts w:ascii="Arial" w:eastAsia="Times New Roman" w:hAnsi="Arial" w:cs="Arial"/>
        </w:rPr>
        <w:t xml:space="preserve"> collection</w:t>
      </w:r>
      <w:r w:rsidRPr="00E039B2">
        <w:rPr>
          <w:rFonts w:ascii="Arial" w:eastAsia="Times New Roman" w:hAnsi="Arial" w:cs="Arial"/>
          <w:i/>
        </w:rPr>
        <w:t>(s)</w:t>
      </w:r>
      <w:r w:rsidRPr="00E039B2">
        <w:rPr>
          <w:rFonts w:ascii="Arial" w:eastAsia="Times New Roman" w:hAnsi="Arial" w:cs="Arial"/>
        </w:rPr>
        <w:t xml:space="preserve"> is/</w:t>
      </w:r>
      <w:r w:rsidRPr="00E039B2">
        <w:rPr>
          <w:rFonts w:ascii="Arial" w:eastAsia="Times New Roman" w:hAnsi="Arial" w:cs="Arial"/>
          <w:i/>
        </w:rPr>
        <w:t>are</w:t>
      </w:r>
      <w:r w:rsidRPr="00E039B2">
        <w:rPr>
          <w:rFonts w:ascii="Arial" w:eastAsia="Times New Roman" w:hAnsi="Arial" w:cs="Arial"/>
        </w:rPr>
        <w:t xml:space="preserve"> considered inexhaustible and is/</w:t>
      </w:r>
      <w:r w:rsidRPr="00E039B2">
        <w:rPr>
          <w:rFonts w:ascii="Arial" w:eastAsia="Times New Roman" w:hAnsi="Arial" w:cs="Arial"/>
          <w:i/>
        </w:rPr>
        <w:t>are</w:t>
      </w:r>
      <w:r w:rsidRPr="00E039B2">
        <w:rPr>
          <w:rFonts w:ascii="Arial" w:eastAsia="Times New Roman" w:hAnsi="Arial" w:cs="Arial"/>
        </w:rPr>
        <w:t xml:space="preserve"> therefore not depreciated.</w:t>
      </w:r>
    </w:p>
    <w:p w14:paraId="12D3ED5E" w14:textId="77777777" w:rsidR="00966C79" w:rsidRPr="00E039B2" w:rsidRDefault="00966C79" w:rsidP="00966C79">
      <w:pPr>
        <w:tabs>
          <w:tab w:val="left" w:pos="1560"/>
        </w:tabs>
        <w:spacing w:before="120" w:after="240" w:line="240" w:lineRule="auto"/>
        <w:ind w:left="1915" w:hanging="475"/>
        <w:jc w:val="both"/>
        <w:rPr>
          <w:rFonts w:ascii="Arial" w:eastAsia="Times New Roman" w:hAnsi="Arial" w:cs="Arial"/>
        </w:rPr>
      </w:pPr>
      <w:r w:rsidRPr="00E039B2">
        <w:rPr>
          <w:rFonts w:ascii="Arial" w:eastAsia="Times New Roman" w:hAnsi="Arial" w:cs="Arial"/>
          <w:b/>
        </w:rPr>
        <w:t>K.</w:t>
      </w:r>
      <w:r w:rsidRPr="00E039B2">
        <w:rPr>
          <w:rFonts w:ascii="Arial" w:eastAsia="Times New Roman" w:hAnsi="Arial" w:cs="Arial"/>
          <w:b/>
        </w:rPr>
        <w:tab/>
        <w:t>Payables</w:t>
      </w:r>
    </w:p>
    <w:p w14:paraId="6745DEA7" w14:textId="77777777" w:rsidR="00966C79" w:rsidRPr="00E039B2" w:rsidRDefault="00966C79" w:rsidP="00966C79">
      <w:pPr>
        <w:tabs>
          <w:tab w:val="left" w:pos="1560"/>
        </w:tabs>
        <w:spacing w:after="240" w:line="240" w:lineRule="auto"/>
        <w:ind w:left="1915"/>
        <w:jc w:val="both"/>
        <w:rPr>
          <w:rFonts w:ascii="Arial" w:eastAsia="Times New Roman" w:hAnsi="Arial" w:cs="Arial"/>
          <w:color w:val="0000FF"/>
        </w:rPr>
      </w:pPr>
      <w:r w:rsidRPr="00E039B2">
        <w:rPr>
          <w:rFonts w:ascii="Arial" w:eastAsia="Times New Roman" w:hAnsi="Arial" w:cs="Arial"/>
        </w:rPr>
        <w:t>Accounts</w:t>
      </w:r>
      <w:r w:rsidRPr="00E039B2">
        <w:rPr>
          <w:rFonts w:ascii="Arial" w:eastAsia="Times New Roman" w:hAnsi="Arial" w:cs="Arial"/>
          <w:b/>
        </w:rPr>
        <w:t xml:space="preserve"> </w:t>
      </w:r>
      <w:r w:rsidRPr="00E039B2">
        <w:rPr>
          <w:rFonts w:ascii="Arial" w:eastAsia="Times New Roman" w:hAnsi="Arial" w:cs="Arial"/>
        </w:rPr>
        <w:t xml:space="preserve">payable for the </w:t>
      </w:r>
      <w:r w:rsidRPr="00E039B2">
        <w:rPr>
          <w:rFonts w:ascii="Arial" w:eastAsia="Times New Roman" w:hAnsi="Arial" w:cs="Arial"/>
          <w:color w:val="0000FF"/>
        </w:rPr>
        <w:t xml:space="preserve">[governmental funds, proprietary funds, fiduciary funds] </w:t>
      </w:r>
      <w:r w:rsidRPr="00E039B2">
        <w:rPr>
          <w:rFonts w:ascii="Arial" w:eastAsia="Times New Roman" w:hAnsi="Arial" w:cs="Arial"/>
        </w:rPr>
        <w:t xml:space="preserve">include amounts due to </w:t>
      </w:r>
      <w:r w:rsidRPr="00E039B2">
        <w:rPr>
          <w:rFonts w:ascii="Arial" w:eastAsia="Times New Roman" w:hAnsi="Arial" w:cs="Arial"/>
          <w:color w:val="0000FF"/>
        </w:rPr>
        <w:t>[</w:t>
      </w:r>
      <w:r w:rsidRPr="00E039B2">
        <w:rPr>
          <w:rFonts w:ascii="Arial" w:eastAsia="Times New Roman" w:hAnsi="Arial" w:cs="Arial"/>
          <w:i/>
          <w:color w:val="0000FF"/>
        </w:rPr>
        <w:t xml:space="preserve">Example: </w:t>
      </w:r>
      <w:r w:rsidRPr="00E039B2">
        <w:rPr>
          <w:rFonts w:ascii="Arial" w:eastAsia="Times New Roman" w:hAnsi="Arial" w:cs="Arial"/>
          <w:color w:val="0000FF"/>
        </w:rPr>
        <w:t xml:space="preserve">individuals, companies, third party providers] </w:t>
      </w:r>
      <w:r w:rsidRPr="00E039B2">
        <w:rPr>
          <w:rFonts w:ascii="Arial" w:eastAsia="Times New Roman" w:hAnsi="Arial" w:cs="Arial"/>
        </w:rPr>
        <w:t xml:space="preserve">in connection with </w:t>
      </w:r>
      <w:r w:rsidRPr="00E039B2">
        <w:rPr>
          <w:rFonts w:ascii="Arial" w:eastAsia="Times New Roman" w:hAnsi="Arial" w:cs="Arial"/>
          <w:color w:val="0000FF"/>
        </w:rPr>
        <w:t>[describe]</w:t>
      </w:r>
      <w:r w:rsidRPr="00E039B2">
        <w:rPr>
          <w:rFonts w:ascii="Arial" w:eastAsia="Times New Roman" w:hAnsi="Arial" w:cs="Arial"/>
        </w:rPr>
        <w:t xml:space="preserve">. </w:t>
      </w:r>
    </w:p>
    <w:p w14:paraId="7E7B8CA6" w14:textId="77777777" w:rsidR="00966C79" w:rsidRPr="00E039B2" w:rsidRDefault="00966C79" w:rsidP="00966C79">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rPr>
        <w:t xml:space="preserve">Intergovernmental payables for the </w:t>
      </w:r>
      <w:r w:rsidRPr="00E039B2">
        <w:rPr>
          <w:rFonts w:ascii="Arial" w:eastAsia="Times New Roman" w:hAnsi="Arial" w:cs="Arial"/>
          <w:color w:val="0000FF"/>
        </w:rPr>
        <w:t xml:space="preserve">[governmental funds, proprietary funds, fiduciary funds] </w:t>
      </w:r>
      <w:r w:rsidRPr="00E039B2">
        <w:rPr>
          <w:rFonts w:ascii="Arial" w:eastAsia="Times New Roman" w:hAnsi="Arial" w:cs="Arial"/>
        </w:rPr>
        <w:t xml:space="preserve">include amounts due to </w:t>
      </w:r>
      <w:r w:rsidRPr="00E039B2">
        <w:rPr>
          <w:rFonts w:ascii="Arial" w:eastAsia="Times New Roman" w:hAnsi="Arial" w:cs="Arial"/>
          <w:color w:val="0000FF"/>
        </w:rPr>
        <w:t>[</w:t>
      </w:r>
      <w:r w:rsidRPr="00E039B2">
        <w:rPr>
          <w:rFonts w:ascii="Arial" w:eastAsia="Times New Roman" w:hAnsi="Arial" w:cs="Arial"/>
          <w:i/>
          <w:color w:val="0000FF"/>
        </w:rPr>
        <w:t xml:space="preserve">Example: </w:t>
      </w:r>
      <w:r w:rsidRPr="00E039B2">
        <w:rPr>
          <w:rFonts w:ascii="Arial" w:eastAsia="Times New Roman" w:hAnsi="Arial" w:cs="Arial"/>
          <w:color w:val="0000FF"/>
        </w:rPr>
        <w:t>the federal government, state and local governments]</w:t>
      </w:r>
      <w:r w:rsidRPr="00E039B2">
        <w:rPr>
          <w:rFonts w:ascii="Arial" w:eastAsia="Times New Roman" w:hAnsi="Arial" w:cs="Arial"/>
        </w:rPr>
        <w:t xml:space="preserve"> in connection with </w:t>
      </w:r>
      <w:r w:rsidRPr="00E039B2">
        <w:rPr>
          <w:rFonts w:ascii="Arial" w:eastAsia="Times New Roman" w:hAnsi="Arial" w:cs="Arial"/>
          <w:color w:val="0000FF"/>
        </w:rPr>
        <w:t>[describe]</w:t>
      </w:r>
      <w:r w:rsidRPr="00E039B2">
        <w:rPr>
          <w:rFonts w:ascii="Arial" w:eastAsia="Times New Roman" w:hAnsi="Arial" w:cs="Arial"/>
        </w:rPr>
        <w:t xml:space="preserve">. </w:t>
      </w:r>
    </w:p>
    <w:p w14:paraId="64CFB04B" w14:textId="77777777" w:rsidR="00966C79" w:rsidRPr="00E039B2" w:rsidRDefault="00966C79" w:rsidP="00966C79">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[Modify above as necessary, based on the types and sources of payables.]</w:t>
      </w:r>
    </w:p>
    <w:p w14:paraId="0EAB0DFB"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bCs/>
        </w:rPr>
        <w:t>L</w:t>
      </w:r>
      <w:r w:rsidRPr="00E039B2">
        <w:rPr>
          <w:rFonts w:ascii="Arial" w:eastAsia="Times New Roman" w:hAnsi="Arial" w:cs="Arial"/>
          <w:b/>
        </w:rPr>
        <w:t>.</w:t>
      </w:r>
      <w:r w:rsidRPr="00E039B2">
        <w:rPr>
          <w:rFonts w:ascii="Arial" w:eastAsia="Times New Roman" w:hAnsi="Arial" w:cs="Arial"/>
          <w:b/>
        </w:rPr>
        <w:tab/>
        <w:t xml:space="preserve">Unearned Revenue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Unearned revenue for the </w:t>
      </w:r>
      <w:r w:rsidRPr="00E039B2">
        <w:rPr>
          <w:rFonts w:ascii="Arial" w:eastAsia="Times New Roman" w:hAnsi="Arial" w:cs="Arial"/>
          <w:color w:val="0000FF"/>
        </w:rPr>
        <w:t>[governmental funds, proprietary funds]</w:t>
      </w:r>
      <w:r w:rsidRPr="00E039B2">
        <w:rPr>
          <w:rFonts w:ascii="Arial" w:eastAsia="Times New Roman" w:hAnsi="Arial" w:cs="Arial"/>
        </w:rPr>
        <w:t xml:space="preserve"> represents </w:t>
      </w:r>
      <w:r w:rsidRPr="00E039B2">
        <w:rPr>
          <w:rFonts w:ascii="Arial" w:eastAsia="Times New Roman" w:hAnsi="Arial" w:cs="Arial"/>
          <w:color w:val="0000FF"/>
        </w:rPr>
        <w:t>[describe]</w:t>
      </w:r>
      <w:r w:rsidRPr="00E039B2">
        <w:rPr>
          <w:rFonts w:ascii="Arial" w:eastAsia="Times New Roman" w:hAnsi="Arial" w:cs="Arial"/>
        </w:rPr>
        <w:t xml:space="preserve">. </w:t>
      </w:r>
      <w:r w:rsidRPr="00E039B2">
        <w:rPr>
          <w:rFonts w:ascii="Arial" w:eastAsia="Times New Roman" w:hAnsi="Arial" w:cs="Arial"/>
          <w:b/>
          <w:bCs/>
          <w:i/>
          <w:iCs/>
          <w:color w:val="0000FF"/>
        </w:rPr>
        <w:t>[Modify as necessary. Delete if not applicable.]</w:t>
      </w:r>
    </w:p>
    <w:p w14:paraId="53441CC4"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rPr>
        <w:t>M.</w:t>
      </w:r>
      <w:r w:rsidRPr="00E039B2">
        <w:rPr>
          <w:rFonts w:ascii="Arial" w:eastAsia="Times New Roman" w:hAnsi="Arial" w:cs="Arial"/>
          <w:b/>
        </w:rPr>
        <w:tab/>
        <w:t>Long</w:t>
      </w:r>
      <w:r w:rsidRPr="00E039B2">
        <w:rPr>
          <w:rFonts w:ascii="Arial" w:eastAsia="Times New Roman" w:hAnsi="Arial" w:cs="Arial"/>
        </w:rPr>
        <w:t>-</w:t>
      </w:r>
      <w:r w:rsidRPr="00E039B2">
        <w:rPr>
          <w:rFonts w:ascii="Arial" w:eastAsia="Times New Roman" w:hAnsi="Arial" w:cs="Arial"/>
          <w:b/>
        </w:rPr>
        <w:t xml:space="preserve">Term Liabilities </w:t>
      </w:r>
      <w:r w:rsidRPr="00E039B2">
        <w:rPr>
          <w:rFonts w:ascii="Arial" w:eastAsia="Times New Roman" w:hAnsi="Arial" w:cs="Arial"/>
          <w:b/>
          <w:i/>
          <w:color w:val="0000FF"/>
        </w:rPr>
        <w:t xml:space="preserve">[Note to preparer: This section only applies to proprietary funds. For department’s with governmental funds only, long-term liabilities are not reported on the face of the financial statements; therefore, this is not considered a significant accounting policy. Move this information to the long-term liabilities note disclosure.] </w:t>
      </w:r>
      <w:r w:rsidRPr="00E039B2">
        <w:rPr>
          <w:rFonts w:ascii="Arial" w:eastAsia="Times New Roman" w:hAnsi="Arial" w:cs="Arial"/>
        </w:rPr>
        <w:t>-</w:t>
      </w:r>
      <w:r w:rsidRPr="00E039B2">
        <w:rPr>
          <w:rFonts w:ascii="Arial" w:eastAsia="Times New Roman" w:hAnsi="Arial" w:cs="Arial"/>
          <w:bCs/>
        </w:rPr>
        <w:t xml:space="preserve"> General long-term liabilities for the governmental funds are not recognized in the governmental funds until they become due. Consequently, the general long-term liabilities not yet due are not reported on the face of the governmental funds’ financial statements, but are </w:t>
      </w:r>
      <w:r w:rsidRPr="00E039B2">
        <w:rPr>
          <w:rFonts w:ascii="Arial" w:eastAsia="Times New Roman" w:hAnsi="Arial" w:cs="Arial"/>
        </w:rPr>
        <w:t>disclosed in Note</w:t>
      </w:r>
      <w:r w:rsidRPr="00E039B2">
        <w:rPr>
          <w:rFonts w:ascii="Arial" w:eastAsia="Times New Roman" w:hAnsi="Arial" w:cs="Arial"/>
          <w:color w:val="0000FF"/>
        </w:rPr>
        <w:t xml:space="preserve"> </w:t>
      </w:r>
      <w:r w:rsidRPr="00E039B2">
        <w:rPr>
          <w:rFonts w:ascii="Arial" w:eastAsia="Times New Roman" w:hAnsi="Arial" w:cs="Arial"/>
          <w:b/>
          <w:color w:val="0000FF"/>
        </w:rPr>
        <w:t>XX</w:t>
      </w:r>
      <w:r w:rsidRPr="00E039B2">
        <w:rPr>
          <w:rFonts w:ascii="Arial" w:eastAsia="Times New Roman" w:hAnsi="Arial" w:cs="Arial"/>
          <w:color w:val="0000FF"/>
        </w:rPr>
        <w:t xml:space="preserve"> </w:t>
      </w:r>
      <w:r w:rsidRPr="00E039B2">
        <w:rPr>
          <w:rFonts w:ascii="Arial" w:eastAsia="Times New Roman" w:hAnsi="Arial" w:cs="Arial"/>
        </w:rPr>
        <w:t xml:space="preserve">of the Department’s Notes to the Financial Statements. Long-term liabilities for the proprietary funds are reported on the face of the proprietary funds’ financial statements and disclosed in </w:t>
      </w:r>
      <w:r w:rsidRPr="00E039B2">
        <w:rPr>
          <w:rFonts w:ascii="Arial" w:eastAsia="Times New Roman" w:hAnsi="Arial" w:cs="Arial"/>
          <w:color w:val="000000" w:themeColor="text1"/>
        </w:rPr>
        <w:t xml:space="preserve">Note </w:t>
      </w:r>
      <w:r w:rsidRPr="00E039B2">
        <w:rPr>
          <w:rFonts w:ascii="Arial" w:eastAsia="Times New Roman" w:hAnsi="Arial" w:cs="Arial"/>
          <w:b/>
          <w:color w:val="0000FF"/>
        </w:rPr>
        <w:t>XX</w:t>
      </w:r>
      <w:r w:rsidRPr="00E039B2">
        <w:rPr>
          <w:rFonts w:ascii="Arial" w:eastAsia="Times New Roman" w:hAnsi="Arial" w:cs="Arial"/>
        </w:rPr>
        <w:t>.</w:t>
      </w:r>
    </w:p>
    <w:p w14:paraId="77106916"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rPr>
        <w:tab/>
      </w:r>
      <w:r w:rsidRPr="00E039B2">
        <w:rPr>
          <w:rFonts w:ascii="Arial" w:eastAsia="Times New Roman" w:hAnsi="Arial" w:cs="Arial"/>
        </w:rPr>
        <w:tab/>
        <w:t>Noncurrent long-term liabilities include principal amounts of long-term debt and other long-term liabilities that will not be paid within the next fiscal year. Debt is defined as a liability that arises from a contractual obligation to pay cash (or other assets that may be used in lieu of cash) in one or more payments to settle an amount that is fixed at the date the contractual obligation is established.</w:t>
      </w:r>
      <w:r w:rsidRPr="00E039B2">
        <w:rPr>
          <w:rFonts w:ascii="Arial" w:eastAsia="Times New Roman" w:hAnsi="Arial" w:cs="Arial"/>
          <w:bCs/>
        </w:rPr>
        <w:t xml:space="preserve"> </w:t>
      </w:r>
      <w:r w:rsidRPr="00E039B2">
        <w:rPr>
          <w:rFonts w:ascii="Arial" w:eastAsia="Times New Roman" w:hAnsi="Arial" w:cs="Arial"/>
        </w:rPr>
        <w:t xml:space="preserve">Long-term </w:t>
      </w:r>
      <w:r w:rsidRPr="00E039B2">
        <w:rPr>
          <w:rFonts w:ascii="Arial" w:eastAsia="Times New Roman" w:hAnsi="Arial" w:cs="Arial"/>
          <w:bCs/>
        </w:rPr>
        <w:t xml:space="preserve">debt includes: </w:t>
      </w:r>
      <w:r w:rsidRPr="00E039B2">
        <w:rPr>
          <w:rFonts w:ascii="Arial" w:eastAsia="Times New Roman" w:hAnsi="Arial" w:cs="Arial"/>
          <w:bCs/>
          <w:color w:val="0000FF"/>
        </w:rPr>
        <w:t>[revenue bonds payable, special indebtedness, notes from direct placements, notes from direct borrowings, capital leases payable, and bond anticipation notes]</w:t>
      </w:r>
      <w:r w:rsidRPr="00E039B2">
        <w:rPr>
          <w:rFonts w:ascii="Arial" w:eastAsia="Times New Roman" w:hAnsi="Arial" w:cs="Arial"/>
          <w:bCs/>
        </w:rPr>
        <w:t xml:space="preserve">. Other long-term liabilities include: </w:t>
      </w:r>
      <w:r w:rsidRPr="00E039B2">
        <w:rPr>
          <w:rFonts w:ascii="Arial" w:eastAsia="Times New Roman" w:hAnsi="Arial" w:cs="Arial"/>
          <w:bCs/>
          <w:color w:val="0000FF"/>
        </w:rPr>
        <w:t xml:space="preserve">[compensated absences, arbitrage rebate payable, annuities and life income payable, pollution remediation payable, asset retirement obligations, net pension liability, net other postemployment benefits (OPEB) liability, and workers’ compensation </w:t>
      </w:r>
      <w:r w:rsidRPr="00E039B2">
        <w:rPr>
          <w:rFonts w:ascii="Arial" w:eastAsia="Times New Roman" w:hAnsi="Arial" w:cs="Arial"/>
          <w:bCs/>
          <w:color w:val="0000FF"/>
          <w:highlight w:val="yellow"/>
        </w:rPr>
        <w:t>liability</w:t>
      </w:r>
      <w:r w:rsidRPr="00E039B2">
        <w:rPr>
          <w:rFonts w:ascii="Arial" w:eastAsia="Times New Roman" w:hAnsi="Arial" w:cs="Arial"/>
          <w:bCs/>
          <w:color w:val="0000FF"/>
        </w:rPr>
        <w:t>]</w:t>
      </w:r>
      <w:r w:rsidRPr="00E039B2">
        <w:rPr>
          <w:rFonts w:ascii="Arial" w:eastAsia="Times New Roman" w:hAnsi="Arial" w:cs="Arial"/>
          <w:bCs/>
        </w:rPr>
        <w:t xml:space="preserve">. </w:t>
      </w:r>
      <w:r w:rsidRPr="00E039B2">
        <w:rPr>
          <w:rFonts w:ascii="Arial" w:eastAsia="Times New Roman" w:hAnsi="Arial" w:cs="Arial"/>
          <w:b/>
          <w:bCs/>
          <w:i/>
          <w:iCs/>
          <w:color w:val="0000FF"/>
        </w:rPr>
        <w:t>[Modify as necessary.]</w:t>
      </w:r>
    </w:p>
    <w:p w14:paraId="4B9C61AF" w14:textId="77777777" w:rsidR="00966C79" w:rsidRPr="00E039B2" w:rsidRDefault="00966C79" w:rsidP="00966C79">
      <w:pPr>
        <w:spacing w:after="240" w:line="240" w:lineRule="auto"/>
        <w:ind w:left="1915"/>
        <w:jc w:val="both"/>
        <w:rPr>
          <w:rFonts w:ascii="Arial" w:eastAsia="Times New Roman" w:hAnsi="Arial" w:cs="Arial"/>
          <w:b/>
          <w:bCs/>
          <w:i/>
          <w:iCs/>
          <w:color w:val="0000FF"/>
        </w:rPr>
      </w:pPr>
      <w:r w:rsidRPr="00E039B2">
        <w:rPr>
          <w:rFonts w:ascii="Arial" w:eastAsia="Times New Roman" w:hAnsi="Arial" w:cs="Arial"/>
          <w:b/>
        </w:rPr>
        <w:lastRenderedPageBreak/>
        <w:t>Bonds Payable and Special Indebtedness</w:t>
      </w:r>
      <w:r w:rsidRPr="00E039B2">
        <w:rPr>
          <w:rFonts w:ascii="Arial" w:eastAsia="Times New Roman" w:hAnsi="Arial" w:cs="Arial"/>
        </w:rPr>
        <w:t xml:space="preserve"> - Revenue bonds payable and special indebtedness are reported net of unamortized premiums or discounts. The Department amortizes bond premiums/discounts over the life of the bonds using the straight-line method that approximates the effective interest method. Deferred gains and losses on refundings are amortized over the life of the </w:t>
      </w:r>
      <w:r w:rsidRPr="00E039B2">
        <w:rPr>
          <w:rFonts w:ascii="Arial" w:eastAsia="Times New Roman" w:hAnsi="Arial" w:cs="Arial"/>
          <w:bCs/>
          <w:iCs/>
          <w:color w:val="000000"/>
        </w:rPr>
        <w:t>old debt or new debt (whichever is shorter) using the straight</w:t>
      </w:r>
      <w:r w:rsidRPr="00E039B2">
        <w:rPr>
          <w:rFonts w:ascii="Arial" w:eastAsia="Times New Roman" w:hAnsi="Arial" w:cs="Arial"/>
          <w:bCs/>
          <w:iCs/>
          <w:color w:val="000000"/>
        </w:rPr>
        <w:noBreakHyphen/>
        <w:t>line method</w:t>
      </w:r>
      <w:r w:rsidRPr="00E039B2">
        <w:rPr>
          <w:rFonts w:ascii="Arial" w:eastAsia="Times New Roman" w:hAnsi="Arial" w:cs="Arial"/>
          <w:color w:val="3366FF"/>
        </w:rPr>
        <w:t xml:space="preserve">, </w:t>
      </w:r>
      <w:r w:rsidRPr="00E039B2">
        <w:rPr>
          <w:rFonts w:ascii="Arial" w:eastAsia="Times New Roman" w:hAnsi="Arial" w:cs="Arial"/>
        </w:rPr>
        <w:t xml:space="preserve">and are aggregated as deferred outflows of resources or deferred inflows of resources on the Statement of Net Position. Issuance costs are expensed in the reporting period in which they are incurred. </w:t>
      </w:r>
      <w:r w:rsidRPr="00E039B2">
        <w:rPr>
          <w:rFonts w:ascii="Arial" w:eastAsia="Times New Roman" w:hAnsi="Arial" w:cs="Arial"/>
          <w:b/>
          <w:bCs/>
          <w:i/>
          <w:iCs/>
          <w:color w:val="0000FF"/>
        </w:rPr>
        <w:t>[Modify as necessary, including if deferred gains/loss are disaggregated. Delete if not applicable.]</w:t>
      </w:r>
    </w:p>
    <w:p w14:paraId="495C579B" w14:textId="2218A270" w:rsidR="00966C79" w:rsidRPr="00E039B2" w:rsidRDefault="00966C79" w:rsidP="00966C79">
      <w:pPr>
        <w:spacing w:after="240" w:line="240" w:lineRule="auto"/>
        <w:ind w:left="1915"/>
        <w:jc w:val="both"/>
        <w:rPr>
          <w:rFonts w:ascii="Arial" w:eastAsia="Times New Roman" w:hAnsi="Arial" w:cs="Arial"/>
          <w:b/>
          <w:bCs/>
          <w:i/>
          <w:iCs/>
          <w:color w:val="0033CC"/>
        </w:rPr>
      </w:pPr>
      <w:r w:rsidRPr="00E039B2">
        <w:rPr>
          <w:rFonts w:ascii="Arial" w:eastAsia="Times New Roman" w:hAnsi="Arial" w:cs="Arial"/>
          <w:b/>
          <w:bCs/>
          <w:iCs/>
        </w:rPr>
        <w:t>Net Pension Liability</w:t>
      </w:r>
      <w:r w:rsidRPr="00E039B2">
        <w:rPr>
          <w:rFonts w:ascii="Arial" w:eastAsia="Times New Roman" w:hAnsi="Arial" w:cs="Arial"/>
          <w:bCs/>
          <w:iCs/>
        </w:rPr>
        <w:t xml:space="preserve"> - The net pension liability represents the Department’s proportionate share of the collective net pension liability reported in the State of North Carolina’s </w:t>
      </w:r>
      <w:r w:rsidRPr="00E039B2">
        <w:rPr>
          <w:rFonts w:ascii="Arial" w:eastAsia="Times New Roman" w:hAnsi="Arial" w:cs="Arial"/>
          <w:bCs/>
          <w:iCs/>
          <w:highlight w:val="yellow"/>
        </w:rPr>
        <w:t>2019</w:t>
      </w:r>
      <w:r w:rsidRPr="00E039B2">
        <w:rPr>
          <w:rFonts w:ascii="Arial" w:eastAsia="Times New Roman" w:hAnsi="Arial" w:cs="Arial"/>
          <w:bCs/>
          <w:iCs/>
        </w:rPr>
        <w:t xml:space="preserve"> </w:t>
      </w:r>
      <w:r w:rsidRPr="00E039B2">
        <w:rPr>
          <w:rFonts w:ascii="Arial" w:eastAsia="Times New Roman" w:hAnsi="Arial" w:cs="Arial"/>
          <w:bCs/>
          <w:i/>
          <w:iCs/>
        </w:rPr>
        <w:t>Comprehensive Annual Financial Report.</w:t>
      </w:r>
      <w:r w:rsidRPr="00E039B2">
        <w:rPr>
          <w:rFonts w:ascii="Arial" w:eastAsia="Times New Roman" w:hAnsi="Arial" w:cs="Arial"/>
          <w:bCs/>
          <w:iCs/>
        </w:rPr>
        <w:t xml:space="preserve"> This liability represents the Department’s portion of the collective total pension liability less the fiduciary net position of the Teachers’ and State Employees’ Retirement System. See Note </w:t>
      </w:r>
      <w:r w:rsidRPr="00E039B2">
        <w:rPr>
          <w:rFonts w:ascii="Arial" w:eastAsia="Times New Roman" w:hAnsi="Arial" w:cs="Arial"/>
          <w:b/>
          <w:bCs/>
          <w:iCs/>
          <w:color w:val="0000FF"/>
        </w:rPr>
        <w:t>XX</w:t>
      </w:r>
      <w:r w:rsidRPr="00E039B2">
        <w:rPr>
          <w:rFonts w:ascii="Arial" w:eastAsia="Times New Roman" w:hAnsi="Arial" w:cs="Arial"/>
          <w:bCs/>
          <w:iCs/>
        </w:rPr>
        <w:t xml:space="preserve"> for further information regarding the Department’s policies for recognizing liabilities, expenses, deferred outflows of resources, and deferred inflows of resources related to pensions. </w:t>
      </w:r>
      <w:r w:rsidRPr="00E039B2">
        <w:rPr>
          <w:rFonts w:ascii="Arial" w:eastAsia="Times New Roman" w:hAnsi="Arial" w:cs="Arial"/>
          <w:b/>
          <w:bCs/>
          <w:i/>
          <w:iCs/>
          <w:color w:val="0000FF"/>
        </w:rPr>
        <w:t xml:space="preserve">[Note to preparer: Your entity’s net pension liability is based upon the </w:t>
      </w:r>
      <w:r w:rsidRPr="00E039B2">
        <w:rPr>
          <w:rFonts w:ascii="Arial" w:eastAsia="Times New Roman" w:hAnsi="Arial" w:cs="Arial"/>
          <w:b/>
          <w:bCs/>
          <w:i/>
          <w:iCs/>
          <w:color w:val="0000FF"/>
          <w:highlight w:val="yellow"/>
        </w:rPr>
        <w:t xml:space="preserve">2019 </w:t>
      </w:r>
      <w:r w:rsidRPr="00E039B2">
        <w:rPr>
          <w:rFonts w:ascii="Arial" w:eastAsia="Times New Roman" w:hAnsi="Arial" w:cs="Arial"/>
          <w:b/>
          <w:bCs/>
          <w:i/>
          <w:iCs/>
          <w:color w:val="0000FF"/>
        </w:rPr>
        <w:t xml:space="preserve">CAFR for your </w:t>
      </w:r>
      <w:r w:rsidRPr="00E039B2">
        <w:rPr>
          <w:rFonts w:ascii="Arial" w:eastAsia="Times New Roman" w:hAnsi="Arial" w:cs="Arial"/>
          <w:b/>
          <w:bCs/>
          <w:i/>
          <w:iCs/>
          <w:color w:val="0000FF"/>
          <w:highlight w:val="yellow"/>
        </w:rPr>
        <w:t xml:space="preserve">FY2020 </w:t>
      </w:r>
      <w:r w:rsidRPr="00E039B2">
        <w:rPr>
          <w:rFonts w:ascii="Arial" w:eastAsia="Times New Roman" w:hAnsi="Arial" w:cs="Arial"/>
          <w:b/>
          <w:bCs/>
          <w:i/>
          <w:iCs/>
          <w:color w:val="0000FF"/>
        </w:rPr>
        <w:t xml:space="preserve">statements and as such the references to the </w:t>
      </w:r>
      <w:r w:rsidRPr="00E039B2">
        <w:rPr>
          <w:rFonts w:ascii="Arial" w:eastAsia="Times New Roman" w:hAnsi="Arial" w:cs="Arial"/>
          <w:b/>
          <w:bCs/>
          <w:i/>
          <w:iCs/>
          <w:color w:val="0000FF"/>
          <w:highlight w:val="yellow"/>
          <w:u w:val="single"/>
        </w:rPr>
        <w:t>2019</w:t>
      </w:r>
      <w:r w:rsidRPr="00E039B2">
        <w:rPr>
          <w:rFonts w:ascii="Arial" w:eastAsia="Times New Roman" w:hAnsi="Arial" w:cs="Arial"/>
          <w:b/>
          <w:bCs/>
          <w:i/>
          <w:iCs/>
          <w:color w:val="0000FF"/>
          <w:highlight w:val="yellow"/>
        </w:rPr>
        <w:t xml:space="preserve"> </w:t>
      </w:r>
      <w:r w:rsidRPr="00E039B2">
        <w:rPr>
          <w:rFonts w:ascii="Arial" w:eastAsia="Times New Roman" w:hAnsi="Arial" w:cs="Arial"/>
          <w:b/>
          <w:bCs/>
          <w:i/>
          <w:iCs/>
          <w:color w:val="0000FF"/>
        </w:rPr>
        <w:t>CAFR are accurate and should not be changed.]</w:t>
      </w:r>
    </w:p>
    <w:p w14:paraId="7699B7C3" w14:textId="7FEAA1E4"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bCs/>
          <w:iCs/>
        </w:rPr>
        <w:t>Net OPEB Liability</w:t>
      </w:r>
      <w:r w:rsidRPr="00E039B2">
        <w:rPr>
          <w:rFonts w:ascii="Arial" w:eastAsia="Times New Roman" w:hAnsi="Arial" w:cs="Arial"/>
          <w:bCs/>
          <w:iCs/>
        </w:rPr>
        <w:t xml:space="preserve"> - The net OPEB liability represents the Department’s proportionate share of the collective net OPEB liability reported in the State of North Carolina’s </w:t>
      </w:r>
      <w:r w:rsidR="004A0566" w:rsidRPr="00E039B2">
        <w:rPr>
          <w:rFonts w:ascii="Arial" w:eastAsia="Times New Roman" w:hAnsi="Arial" w:cs="Arial"/>
          <w:bCs/>
          <w:iCs/>
          <w:highlight w:val="yellow"/>
        </w:rPr>
        <w:t>2019</w:t>
      </w:r>
      <w:r w:rsidRPr="00E039B2">
        <w:rPr>
          <w:rFonts w:ascii="Arial" w:eastAsia="Times New Roman" w:hAnsi="Arial" w:cs="Arial"/>
          <w:bCs/>
          <w:iCs/>
        </w:rPr>
        <w:t xml:space="preserve"> </w:t>
      </w:r>
      <w:r w:rsidRPr="00E039B2">
        <w:rPr>
          <w:rFonts w:ascii="Arial" w:eastAsia="Times New Roman" w:hAnsi="Arial" w:cs="Arial"/>
          <w:bCs/>
          <w:i/>
          <w:iCs/>
        </w:rPr>
        <w:t>Comprehensive Annual Financial Report.</w:t>
      </w:r>
      <w:r w:rsidRPr="00E039B2">
        <w:rPr>
          <w:rFonts w:ascii="Arial" w:eastAsia="Times New Roman" w:hAnsi="Arial" w:cs="Arial"/>
          <w:bCs/>
          <w:iCs/>
        </w:rPr>
        <w:t xml:space="preserve"> This liability represents the Department’s portion of the collective total OPEB liability less the fiduciary net position of the Retiree Health Benefit Fund. See Note </w:t>
      </w:r>
      <w:r w:rsidRPr="00E039B2">
        <w:rPr>
          <w:rFonts w:ascii="Arial" w:eastAsia="Times New Roman" w:hAnsi="Arial" w:cs="Arial"/>
          <w:b/>
          <w:bCs/>
          <w:iCs/>
          <w:color w:val="0000FF"/>
        </w:rPr>
        <w:t>XX</w:t>
      </w:r>
      <w:r w:rsidRPr="00E039B2">
        <w:rPr>
          <w:rFonts w:ascii="Arial" w:eastAsia="Times New Roman" w:hAnsi="Arial" w:cs="Arial"/>
          <w:bCs/>
          <w:iCs/>
        </w:rPr>
        <w:t xml:space="preserve"> for further information regarding the Department’s policies for recognizing liabilities, expenses, deferred outflows of resources, and deferred inflows of resources related to OPEB. </w:t>
      </w:r>
      <w:r w:rsidRPr="00E039B2">
        <w:rPr>
          <w:rFonts w:ascii="Arial" w:eastAsia="Times New Roman" w:hAnsi="Arial" w:cs="Arial"/>
          <w:b/>
          <w:bCs/>
          <w:i/>
          <w:iCs/>
          <w:color w:val="0000FF"/>
        </w:rPr>
        <w:t xml:space="preserve">[Note to preparer: Your entity’s net OPEB liability is based upon the </w:t>
      </w:r>
      <w:r w:rsidRPr="00E039B2">
        <w:rPr>
          <w:rFonts w:ascii="Arial" w:eastAsia="Times New Roman" w:hAnsi="Arial" w:cs="Arial"/>
          <w:b/>
          <w:bCs/>
          <w:i/>
          <w:iCs/>
          <w:color w:val="0000FF"/>
          <w:highlight w:val="yellow"/>
        </w:rPr>
        <w:t xml:space="preserve">2019 </w:t>
      </w:r>
      <w:r w:rsidRPr="00E039B2">
        <w:rPr>
          <w:rFonts w:ascii="Arial" w:eastAsia="Times New Roman" w:hAnsi="Arial" w:cs="Arial"/>
          <w:b/>
          <w:bCs/>
          <w:i/>
          <w:iCs/>
          <w:color w:val="0000FF"/>
        </w:rPr>
        <w:t xml:space="preserve">CAFR for your </w:t>
      </w:r>
      <w:r w:rsidRPr="00E039B2">
        <w:rPr>
          <w:rFonts w:ascii="Arial" w:eastAsia="Times New Roman" w:hAnsi="Arial" w:cs="Arial"/>
          <w:b/>
          <w:bCs/>
          <w:i/>
          <w:iCs/>
          <w:color w:val="0000FF"/>
          <w:highlight w:val="yellow"/>
        </w:rPr>
        <w:t xml:space="preserve">FY2020 </w:t>
      </w:r>
      <w:r w:rsidRPr="00E039B2">
        <w:rPr>
          <w:rFonts w:ascii="Arial" w:eastAsia="Times New Roman" w:hAnsi="Arial" w:cs="Arial"/>
          <w:b/>
          <w:bCs/>
          <w:i/>
          <w:iCs/>
          <w:color w:val="0000FF"/>
        </w:rPr>
        <w:t xml:space="preserve">statements and as such the references to the </w:t>
      </w:r>
      <w:r w:rsidRPr="00E039B2">
        <w:rPr>
          <w:rFonts w:ascii="Arial" w:eastAsia="Times New Roman" w:hAnsi="Arial" w:cs="Arial"/>
          <w:b/>
          <w:bCs/>
          <w:i/>
          <w:iCs/>
          <w:color w:val="0000FF"/>
          <w:highlight w:val="yellow"/>
          <w:u w:val="single"/>
        </w:rPr>
        <w:t>2019</w:t>
      </w:r>
      <w:r w:rsidRPr="00E039B2">
        <w:rPr>
          <w:rFonts w:ascii="Arial" w:eastAsia="Times New Roman" w:hAnsi="Arial" w:cs="Arial"/>
          <w:b/>
          <w:bCs/>
          <w:i/>
          <w:iCs/>
          <w:color w:val="0000FF"/>
          <w:highlight w:val="yellow"/>
        </w:rPr>
        <w:t xml:space="preserve"> </w:t>
      </w:r>
      <w:r w:rsidRPr="00E039B2">
        <w:rPr>
          <w:rFonts w:ascii="Arial" w:eastAsia="Times New Roman" w:hAnsi="Arial" w:cs="Arial"/>
          <w:b/>
          <w:bCs/>
          <w:i/>
          <w:iCs/>
          <w:color w:val="0000FF"/>
        </w:rPr>
        <w:t>CAFR are accurate and should not be changed.]</w:t>
      </w:r>
    </w:p>
    <w:p w14:paraId="022BA79C"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 xml:space="preserve">Compensated Absences </w:t>
      </w:r>
      <w:r w:rsidRPr="00E039B2">
        <w:rPr>
          <w:rFonts w:ascii="Arial" w:eastAsia="Times New Roman" w:hAnsi="Arial" w:cs="Arial"/>
        </w:rPr>
        <w:t xml:space="preserve">- Employees of the Department are permitted to accumulate earned but unused vacation pay benefits. In the proprietary funds, all vacation pay is accrued when incurred. When determining the vacation pay liability due within one year, leave is considered taken on a last in, first out (LIFO) basis. In the governmental funds, a liability for these amounts is reported only as payments become due each period upon the occurrence of relevant events such as employee resignations and retirements. This liability is reported in </w:t>
      </w:r>
      <w:r w:rsidRPr="00E039B2">
        <w:rPr>
          <w:rFonts w:ascii="Arial" w:eastAsia="Times New Roman" w:hAnsi="Arial" w:cs="Arial"/>
          <w:bCs/>
          <w:iCs/>
        </w:rPr>
        <w:t xml:space="preserve">Note </w:t>
      </w:r>
      <w:r w:rsidRPr="00E039B2">
        <w:rPr>
          <w:rFonts w:ascii="Arial" w:eastAsia="Times New Roman" w:hAnsi="Arial" w:cs="Arial"/>
          <w:b/>
          <w:bCs/>
          <w:iCs/>
          <w:color w:val="0000FF"/>
        </w:rPr>
        <w:t>XX</w:t>
      </w:r>
      <w:r w:rsidRPr="00E039B2">
        <w:rPr>
          <w:rFonts w:ascii="Arial" w:eastAsia="Times New Roman" w:hAnsi="Arial" w:cs="Arial"/>
          <w:bCs/>
          <w:iCs/>
        </w:rPr>
        <w:t xml:space="preserve"> </w:t>
      </w:r>
      <w:r w:rsidRPr="00E039B2">
        <w:rPr>
          <w:rFonts w:ascii="Arial" w:eastAsia="Times New Roman" w:hAnsi="Arial" w:cs="Arial"/>
        </w:rPr>
        <w:t xml:space="preserve">of the Department’s Notes to the Financial Statements. </w:t>
      </w:r>
    </w:p>
    <w:p w14:paraId="5FC9B136"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The Department’s policy provides for a maximum accumulation of unused vacation leave of 30 days which can be carried forward each January 1 or for which an employee can be paid upon termination of employment. Also, any accumulated vacation leave in excess of 30 days at calendar year-end </w:t>
      </w:r>
      <w:r w:rsidRPr="00E039B2">
        <w:rPr>
          <w:rFonts w:ascii="Arial" w:eastAsia="Times New Roman" w:hAnsi="Arial" w:cs="Arial"/>
        </w:rPr>
        <w:lastRenderedPageBreak/>
        <w:t>is converted to sick leave.</w:t>
      </w:r>
      <w:r w:rsidRPr="00E039B2">
        <w:rPr>
          <w:rFonts w:ascii="Arial" w:eastAsia="Times New Roman" w:hAnsi="Arial" w:cs="Arial"/>
          <w:color w:val="0000FF"/>
        </w:rPr>
        <w:t xml:space="preserve"> </w:t>
      </w:r>
      <w:r w:rsidRPr="00E039B2">
        <w:rPr>
          <w:rFonts w:ascii="Arial" w:eastAsia="Times New Roman" w:hAnsi="Arial" w:cs="Arial"/>
        </w:rPr>
        <w:t xml:space="preserve">Under this policy, the accumulated vacation leave for each employee at June 30 equals the leave carried forward at the previous December 31 plus the leave earned, less the leave taken between January 1 and June 30. </w:t>
      </w:r>
      <w:r w:rsidRPr="00E039B2">
        <w:rPr>
          <w:rFonts w:ascii="Arial" w:eastAsia="Times New Roman" w:hAnsi="Arial" w:cs="Arial"/>
          <w:b/>
          <w:i/>
          <w:color w:val="0000FF"/>
        </w:rPr>
        <w:t>[Revise wording to actual policy of the Department, if different from above.]</w:t>
      </w:r>
    </w:p>
    <w:p w14:paraId="57A03E88" w14:textId="77777777" w:rsidR="00966C79" w:rsidRPr="00E039B2" w:rsidRDefault="00966C79" w:rsidP="00966C79">
      <w:pPr>
        <w:tabs>
          <w:tab w:val="left" w:pos="1560"/>
        </w:tabs>
        <w:spacing w:after="240" w:line="240" w:lineRule="auto"/>
        <w:ind w:left="1915"/>
        <w:jc w:val="both"/>
        <w:rPr>
          <w:rFonts w:ascii="Arial" w:eastAsia="Times New Roman" w:hAnsi="Arial" w:cs="Arial"/>
          <w:highlight w:val="yellow"/>
        </w:rPr>
      </w:pPr>
      <w:r w:rsidRPr="00E039B2">
        <w:rPr>
          <w:rFonts w:ascii="Arial" w:eastAsia="Times New Roman" w:hAnsi="Arial" w:cs="Arial"/>
        </w:rPr>
        <w:t>In addition to the vacation leave described above, compensated absences include the accumulated unused portion of the special annual leave bonuses awarded by the North Carolina General Assembly. The bonus leave balance on December 31 is retained by employees and transferred into the next calendar year. It is not subject to the limitation on annual leave carried forward described above and is not subject to conversion to sick leave.</w:t>
      </w:r>
    </w:p>
    <w:p w14:paraId="398BD70D" w14:textId="77777777" w:rsidR="00966C79" w:rsidRPr="00E039B2" w:rsidRDefault="00966C79" w:rsidP="00966C79">
      <w:pPr>
        <w:tabs>
          <w:tab w:val="left" w:pos="1560"/>
        </w:tabs>
        <w:spacing w:after="240" w:line="240" w:lineRule="auto"/>
        <w:ind w:left="1915"/>
        <w:jc w:val="both"/>
        <w:rPr>
          <w:rFonts w:ascii="Arial" w:eastAsia="Times New Roman" w:hAnsi="Arial" w:cs="Arial"/>
          <w:b/>
          <w:color w:val="0000FF"/>
        </w:rPr>
      </w:pPr>
      <w:r w:rsidRPr="00E039B2">
        <w:rPr>
          <w:rFonts w:ascii="Arial" w:eastAsia="Times New Roman" w:hAnsi="Arial" w:cs="Arial"/>
        </w:rPr>
        <w:t>There is no liability for unpaid accumulated sick leave because the Department has no obligation to pay sick leave upon employee termination or retirement. However, additional service credit for retirement pension benefits is given for accumulated sick leave upon retirement.</w:t>
      </w:r>
      <w:r w:rsidRPr="00E039B2">
        <w:rPr>
          <w:rFonts w:ascii="Arial" w:eastAsia="Times New Roman" w:hAnsi="Arial" w:cs="Arial"/>
          <w:b/>
          <w:color w:val="0000FF"/>
        </w:rPr>
        <w:t xml:space="preserve"> </w:t>
      </w:r>
    </w:p>
    <w:p w14:paraId="44C5D9ED" w14:textId="77777777" w:rsidR="00966C79" w:rsidRPr="00E039B2" w:rsidRDefault="00966C79" w:rsidP="00966C79">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[Modify above as necessary, based on the types and long-term liabilities]</w:t>
      </w:r>
    </w:p>
    <w:p w14:paraId="75462885" w14:textId="675199B8" w:rsidR="00966C79" w:rsidRPr="00E039B2" w:rsidRDefault="00966C79" w:rsidP="00966C79">
      <w:pPr>
        <w:tabs>
          <w:tab w:val="left" w:pos="1560"/>
        </w:tabs>
        <w:spacing w:after="240" w:line="240" w:lineRule="auto"/>
        <w:ind w:left="1915" w:hanging="475"/>
        <w:jc w:val="both"/>
        <w:rPr>
          <w:rFonts w:ascii="Arial" w:eastAsia="Calibri" w:hAnsi="Arial" w:cs="Arial"/>
        </w:rPr>
      </w:pPr>
      <w:r w:rsidRPr="00E039B2">
        <w:rPr>
          <w:rFonts w:ascii="Arial" w:eastAsia="Times New Roman" w:hAnsi="Arial" w:cs="Arial"/>
          <w:b/>
        </w:rPr>
        <w:t>N.</w:t>
      </w:r>
      <w:r w:rsidRPr="00E039B2">
        <w:rPr>
          <w:rFonts w:ascii="Arial" w:eastAsia="Times New Roman" w:hAnsi="Arial" w:cs="Arial"/>
          <w:b/>
        </w:rPr>
        <w:tab/>
        <w:t xml:space="preserve">Deferred Outflows/Inflows of Resources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Calibri" w:hAnsi="Arial" w:cs="Arial"/>
        </w:rPr>
        <w:t xml:space="preserve">In addition to assets, the Department reports a separate section for deferred outflows of resources. This separate financial statement element, </w:t>
      </w:r>
      <w:r w:rsidRPr="00E039B2">
        <w:rPr>
          <w:rFonts w:ascii="Arial" w:eastAsia="Calibri" w:hAnsi="Arial" w:cs="Arial"/>
          <w:iCs/>
        </w:rPr>
        <w:t>deferred outflows of resources</w:t>
      </w:r>
      <w:r w:rsidRPr="00E039B2">
        <w:rPr>
          <w:rFonts w:ascii="Arial" w:eastAsia="Calibri" w:hAnsi="Arial" w:cs="Arial"/>
        </w:rPr>
        <w:t>, represents a consumption of fund balance/net position that applies to a future period(s) and so will not be recognized as an outflow of resources (expense) until then. The Department</w:t>
      </w:r>
      <w:r w:rsidRPr="00E039B2">
        <w:rPr>
          <w:rFonts w:ascii="Arial" w:eastAsia="Calibri" w:hAnsi="Arial" w:cs="Arial"/>
          <w:highlight w:val="yellow"/>
        </w:rPr>
        <w:t>’s proprietary funds</w:t>
      </w:r>
      <w:r w:rsidRPr="00E039B2">
        <w:rPr>
          <w:rFonts w:ascii="Arial" w:eastAsia="Calibri" w:hAnsi="Arial" w:cs="Arial"/>
        </w:rPr>
        <w:t xml:space="preserve"> ha</w:t>
      </w:r>
      <w:r w:rsidRPr="00E039B2">
        <w:rPr>
          <w:rFonts w:ascii="Arial" w:eastAsia="Calibri" w:hAnsi="Arial" w:cs="Arial"/>
          <w:highlight w:val="yellow"/>
        </w:rPr>
        <w:t>ve</w:t>
      </w:r>
      <w:r w:rsidRPr="00E039B2">
        <w:rPr>
          <w:rFonts w:ascii="Arial" w:eastAsia="Calibri" w:hAnsi="Arial" w:cs="Arial"/>
        </w:rPr>
        <w:t xml:space="preserve"> the following items that qualify for reporting in this category: </w:t>
      </w:r>
      <w:r w:rsidRPr="00E039B2">
        <w:rPr>
          <w:rFonts w:ascii="Arial" w:eastAsia="Calibri" w:hAnsi="Arial" w:cs="Arial"/>
          <w:color w:val="0000FF"/>
        </w:rPr>
        <w:t>[deferred outflows related to forward funded state aid, deferred outflows related to asset retirement obligations, deferred outflows related to pensions, and deferred outflows related to OPEB]</w:t>
      </w:r>
      <w:r w:rsidRPr="00E039B2">
        <w:rPr>
          <w:rFonts w:ascii="Arial" w:eastAsia="Calibri" w:hAnsi="Arial" w:cs="Arial"/>
        </w:rPr>
        <w:t xml:space="preserve">. </w:t>
      </w:r>
      <w:r w:rsidRPr="00E039B2">
        <w:rPr>
          <w:rFonts w:ascii="Arial" w:eastAsia="Calibri" w:hAnsi="Arial" w:cs="Arial"/>
          <w:b/>
          <w:i/>
          <w:color w:val="0000FF"/>
        </w:rPr>
        <w:t>[Modify as deemed necessary.]</w:t>
      </w:r>
    </w:p>
    <w:p w14:paraId="1F8D64D7" w14:textId="40830548" w:rsidR="00966C79" w:rsidRPr="00E039B2" w:rsidRDefault="00966C79" w:rsidP="00966C79">
      <w:pPr>
        <w:autoSpaceDE w:val="0"/>
        <w:autoSpaceDN w:val="0"/>
        <w:adjustRightInd w:val="0"/>
        <w:spacing w:after="240" w:line="240" w:lineRule="auto"/>
        <w:ind w:left="1915"/>
        <w:jc w:val="both"/>
        <w:rPr>
          <w:rFonts w:ascii="Arial" w:eastAsia="Times New Roman" w:hAnsi="Arial" w:cs="Arial"/>
        </w:rPr>
      </w:pPr>
      <w:r w:rsidRPr="00E039B2">
        <w:rPr>
          <w:rFonts w:ascii="Arial" w:eastAsia="Calibri" w:hAnsi="Arial" w:cs="Arial"/>
        </w:rPr>
        <w:t xml:space="preserve">In addition to liabilities, the Department reports a separate section for deferred inflows of resources. This separate financial statement element, </w:t>
      </w:r>
      <w:r w:rsidRPr="00E039B2">
        <w:rPr>
          <w:rFonts w:ascii="Arial" w:eastAsia="Calibri" w:hAnsi="Arial" w:cs="Arial"/>
          <w:iCs/>
        </w:rPr>
        <w:t xml:space="preserve">deferred inflows of resources, </w:t>
      </w:r>
      <w:r w:rsidRPr="00E039B2">
        <w:rPr>
          <w:rFonts w:ascii="Arial" w:eastAsia="Calibri" w:hAnsi="Arial" w:cs="Arial"/>
        </w:rPr>
        <w:t>represents an acquisition of fund balance/net position that applies to a future period(s) and so will not be recognized as an inflow of resources (revenue) until then. The Department</w:t>
      </w:r>
      <w:r w:rsidRPr="00E039B2">
        <w:rPr>
          <w:rFonts w:ascii="Arial" w:eastAsia="Calibri" w:hAnsi="Arial" w:cs="Arial"/>
          <w:highlight w:val="yellow"/>
        </w:rPr>
        <w:t>’s proprietary funds</w:t>
      </w:r>
      <w:r w:rsidRPr="00E039B2">
        <w:rPr>
          <w:rFonts w:ascii="Arial" w:eastAsia="Calibri" w:hAnsi="Arial" w:cs="Arial"/>
        </w:rPr>
        <w:t xml:space="preserve"> ha</w:t>
      </w:r>
      <w:r w:rsidRPr="00E039B2">
        <w:rPr>
          <w:rFonts w:ascii="Arial" w:eastAsia="Calibri" w:hAnsi="Arial" w:cs="Arial"/>
          <w:highlight w:val="yellow"/>
        </w:rPr>
        <w:t>ve</w:t>
      </w:r>
      <w:r w:rsidRPr="00E039B2">
        <w:rPr>
          <w:rFonts w:ascii="Arial" w:eastAsia="Calibri" w:hAnsi="Arial" w:cs="Arial"/>
        </w:rPr>
        <w:t xml:space="preserve"> the following items that qualify for reporting in this category: </w:t>
      </w:r>
      <w:r w:rsidRPr="00E039B2">
        <w:rPr>
          <w:rFonts w:ascii="Arial" w:eastAsia="Calibri" w:hAnsi="Arial" w:cs="Arial"/>
          <w:color w:val="0000FF"/>
        </w:rPr>
        <w:t>[deferred inflows related to unavailable revenue, deferred inflows for irrevocable split-interest agreements, deferred inflows related to pensions, and deferred inflows related to OPEB]</w:t>
      </w:r>
      <w:r w:rsidRPr="00E039B2">
        <w:rPr>
          <w:rFonts w:ascii="Arial" w:eastAsia="Calibri" w:hAnsi="Arial" w:cs="Arial"/>
        </w:rPr>
        <w:t xml:space="preserve">. </w:t>
      </w:r>
      <w:r w:rsidRPr="00E039B2">
        <w:rPr>
          <w:rFonts w:ascii="Arial" w:eastAsia="Calibri" w:hAnsi="Arial" w:cs="Arial"/>
          <w:b/>
          <w:i/>
          <w:color w:val="0000FF"/>
        </w:rPr>
        <w:t>[Modify as deemed necessary.]</w:t>
      </w:r>
    </w:p>
    <w:p w14:paraId="0E623C96"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rPr>
        <w:t>O.</w:t>
      </w:r>
      <w:r w:rsidRPr="00E039B2">
        <w:rPr>
          <w:rFonts w:ascii="Arial" w:eastAsia="Times New Roman" w:hAnsi="Arial" w:cs="Arial"/>
          <w:b/>
        </w:rPr>
        <w:tab/>
        <w:t xml:space="preserve">Fund Balance/Net Position </w:t>
      </w:r>
      <w:r w:rsidRPr="00E039B2">
        <w:rPr>
          <w:rFonts w:ascii="Arial" w:eastAsia="Times New Roman" w:hAnsi="Arial" w:cs="Arial"/>
          <w:b/>
          <w:color w:val="0000FF"/>
        </w:rPr>
        <w:t>[If only governmental funds, remove Net Position and related section below]</w:t>
      </w:r>
    </w:p>
    <w:p w14:paraId="69BB0DF9"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Fund Balance</w:t>
      </w:r>
      <w:r w:rsidRPr="00E039B2">
        <w:rPr>
          <w:rFonts w:ascii="Arial" w:eastAsia="Times New Roman" w:hAnsi="Arial" w:cs="Arial"/>
        </w:rPr>
        <w:t xml:space="preserve"> - Fund balance for the governmental funds is reported in the following classifications depicting the relative strength of the constraints that control how specific amounts can be spent.</w:t>
      </w:r>
    </w:p>
    <w:p w14:paraId="4813EE3C"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i/>
          <w:iCs/>
        </w:rPr>
        <w:lastRenderedPageBreak/>
        <w:t>Nonspendable</w:t>
      </w:r>
      <w:r w:rsidRPr="00E039B2">
        <w:rPr>
          <w:rFonts w:ascii="Arial" w:eastAsia="Times New Roman" w:hAnsi="Arial" w:cs="Arial"/>
          <w:i/>
        </w:rPr>
        <w:t xml:space="preserve"> Fund Balance</w:t>
      </w:r>
      <w:r w:rsidRPr="00E039B2">
        <w:rPr>
          <w:rFonts w:ascii="Arial" w:eastAsia="Times New Roman" w:hAnsi="Arial" w:cs="Arial"/>
        </w:rPr>
        <w:t xml:space="preserve"> - These amounts cannot be spent because they are either (a) not in a spendable form or (b) legally or contractually required to be maintained intact. </w:t>
      </w:r>
    </w:p>
    <w:p w14:paraId="3FA75966"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i/>
          <w:iCs/>
        </w:rPr>
        <w:t xml:space="preserve">Restricted </w:t>
      </w:r>
      <w:r w:rsidRPr="00E039B2">
        <w:rPr>
          <w:rFonts w:ascii="Arial" w:eastAsia="Times New Roman" w:hAnsi="Arial" w:cs="Arial"/>
          <w:i/>
        </w:rPr>
        <w:t>Fund Balance</w:t>
      </w:r>
      <w:r w:rsidRPr="00E039B2">
        <w:rPr>
          <w:rFonts w:ascii="Arial" w:eastAsia="Times New Roman" w:hAnsi="Arial" w:cs="Arial"/>
        </w:rPr>
        <w:t xml:space="preserve"> - These amounts have constraints placed on the use of resources that are either (a) externally imposed by creditors, grantors, contributors, or laws or regulations of other governments or (b) imposed by law through constitutional provisions. </w:t>
      </w:r>
    </w:p>
    <w:p w14:paraId="121D8396" w14:textId="77777777" w:rsidR="00966C79" w:rsidRPr="00E039B2" w:rsidRDefault="00966C79" w:rsidP="00966C79">
      <w:pPr>
        <w:spacing w:after="240" w:line="240" w:lineRule="auto"/>
        <w:ind w:left="1915"/>
        <w:jc w:val="both"/>
        <w:rPr>
          <w:rFonts w:ascii="Times New Roman" w:eastAsia="Times New Roman" w:hAnsi="Times New Roman" w:cs="Times New Roman"/>
        </w:rPr>
      </w:pPr>
      <w:r w:rsidRPr="00E039B2">
        <w:rPr>
          <w:rFonts w:ascii="Arial" w:eastAsia="Times New Roman" w:hAnsi="Arial" w:cs="Arial"/>
          <w:i/>
          <w:iCs/>
        </w:rPr>
        <w:t>Committed</w:t>
      </w:r>
      <w:r w:rsidRPr="00E039B2">
        <w:rPr>
          <w:rFonts w:ascii="Arial" w:eastAsia="Times New Roman" w:hAnsi="Arial" w:cs="Arial"/>
          <w:i/>
        </w:rPr>
        <w:t xml:space="preserve"> Fund Balance</w:t>
      </w:r>
      <w:r w:rsidRPr="00E039B2">
        <w:rPr>
          <w:rFonts w:ascii="Arial" w:eastAsia="Times New Roman" w:hAnsi="Arial" w:cs="Arial"/>
        </w:rPr>
        <w:t xml:space="preserve"> - These amounts can only be used for specific purposes pursuant to constraints imposed by formal action of the North Carolina General Assembly, the State’s highest level of decision-making authority. The North Carolina General Assembly establishes commitments through the passage of legislation that becomes State law. Commitments may be changed or lifted only by taking the same formal action that imposed the constraint originally</w:t>
      </w:r>
    </w:p>
    <w:p w14:paraId="114DC9B1"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i/>
        </w:rPr>
        <w:t>Assigned Fund Balance</w:t>
      </w:r>
      <w:r w:rsidRPr="00E039B2">
        <w:rPr>
          <w:rFonts w:ascii="Arial" w:eastAsia="Times New Roman" w:hAnsi="Arial" w:cs="Arial"/>
        </w:rPr>
        <w:t xml:space="preserve"> - These amounts are constrained by an intent to be used for specific purposes, but are neither restricted nor committed. The Office of State Budget and Management (OSBM) is authorized to assign unexpended funds at year-end as a carryforward of budget authority to the subsequent fiscal year. The North Carolina Constitution (Article III, Sec. 5(3)) provides that the "budget as enacted by the General Assembly shall be administered by the Governor." The Governor has delegated the authority to perform certain powers and duties of this role as the Director of the Budget to OSBM.</w:t>
      </w:r>
    </w:p>
    <w:p w14:paraId="703F479E"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i/>
          <w:iCs/>
        </w:rPr>
        <w:t>Unassigned</w:t>
      </w:r>
      <w:r w:rsidRPr="00E039B2">
        <w:rPr>
          <w:rFonts w:ascii="Arial" w:eastAsia="Times New Roman" w:hAnsi="Arial" w:cs="Arial"/>
          <w:i/>
        </w:rPr>
        <w:t xml:space="preserve"> Fund Balance</w:t>
      </w:r>
      <w:r w:rsidRPr="00E039B2">
        <w:rPr>
          <w:rFonts w:ascii="Arial" w:eastAsia="Times New Roman" w:hAnsi="Arial" w:cs="Arial"/>
        </w:rPr>
        <w:t xml:space="preserve"> - This is the residual classification for the General Fund. Other governmental funds cannot report positive unassigned fund balance but can report negative unassigned fund balance if expenditures incurred for specific purposes exceeded the amounts </w:t>
      </w:r>
      <w:r w:rsidRPr="00E039B2">
        <w:rPr>
          <w:rFonts w:ascii="Arial" w:eastAsia="Times New Roman" w:hAnsi="Arial" w:cs="Arial"/>
          <w:color w:val="0000FF"/>
        </w:rPr>
        <w:t>[restricted, committed, or assigned]</w:t>
      </w:r>
      <w:r w:rsidRPr="00E039B2">
        <w:rPr>
          <w:rFonts w:ascii="Arial" w:eastAsia="Times New Roman" w:hAnsi="Arial" w:cs="Arial"/>
        </w:rPr>
        <w:t xml:space="preserve"> to those purposes. </w:t>
      </w:r>
      <w:r w:rsidRPr="00E039B2">
        <w:rPr>
          <w:rFonts w:ascii="Arial" w:eastAsia="Calibri" w:hAnsi="Arial" w:cs="Arial"/>
          <w:b/>
          <w:i/>
          <w:color w:val="0000FF"/>
        </w:rPr>
        <w:t>[Modify as deemed necessary.]</w:t>
      </w:r>
    </w:p>
    <w:p w14:paraId="46AB5AB4"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Expenditures are considered to be made from the most restrictive resource (i.e., restricted, committed, assigned, and unassigned in that order) when more than one fund balance classification is available for use. </w:t>
      </w:r>
    </w:p>
    <w:p w14:paraId="36C39138"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b/>
        </w:rPr>
        <w:t xml:space="preserve">Net Position </w:t>
      </w:r>
      <w:r w:rsidRPr="00E039B2">
        <w:rPr>
          <w:rFonts w:ascii="Arial" w:eastAsia="Times New Roman" w:hAnsi="Arial" w:cs="Arial"/>
        </w:rPr>
        <w:t>- Net position for the proprietary funds is classified as follows:</w:t>
      </w:r>
    </w:p>
    <w:p w14:paraId="07A6E56B" w14:textId="01867D2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i/>
        </w:rPr>
        <w:t>Net Investment in Capital Assets</w:t>
      </w:r>
      <w:r w:rsidRPr="00E039B2">
        <w:rPr>
          <w:rFonts w:ascii="Arial" w:eastAsia="Times New Roman" w:hAnsi="Arial" w:cs="Arial"/>
        </w:rPr>
        <w:t xml:space="preserve"> - This represents the proprietary funds’ total investment in capital assets,</w:t>
      </w:r>
      <w:r w:rsidRPr="00E039B2">
        <w:rPr>
          <w:rFonts w:ascii="Arial" w:eastAsia="Times New Roman" w:hAnsi="Arial" w:cs="Arial"/>
          <w:color w:val="0000FF"/>
        </w:rPr>
        <w:t xml:space="preserve"> [net of outstanding liabilities related to those capital assets. To the extent debt has been incurred but not yet expended for capital assets, such amounts are not included as a component of net investment in capital assets.] </w:t>
      </w:r>
      <w:r w:rsidRPr="00E039B2">
        <w:rPr>
          <w:rFonts w:ascii="Arial" w:eastAsia="Times New Roman" w:hAnsi="Arial" w:cs="Arial"/>
        </w:rPr>
        <w:t xml:space="preserve">Additionally, deferred outflows of resources and deferred inflows of resources that are attributable to the acquisition, construction, or improvement of capital assets or related debt are also included in this component of net position. </w:t>
      </w:r>
      <w:r w:rsidRPr="00E039B2">
        <w:rPr>
          <w:rFonts w:ascii="Arial" w:eastAsia="Times New Roman" w:hAnsi="Arial" w:cs="Arial"/>
          <w:b/>
          <w:i/>
          <w:color w:val="0000FF"/>
        </w:rPr>
        <w:t xml:space="preserve">[Delete last sentence in this paragraph if not applicable to your entity. Additionally, remove the word ‘Net’ from this paragraph’s heading if there are no liabilities related to capital assets at your Department. </w:t>
      </w:r>
      <w:r w:rsidRPr="00E039B2">
        <w:rPr>
          <w:rFonts w:ascii="Arial" w:eastAsia="Times New Roman" w:hAnsi="Arial" w:cs="Arial"/>
          <w:b/>
          <w:i/>
          <w:color w:val="0000FF"/>
        </w:rPr>
        <w:lastRenderedPageBreak/>
        <w:t>Liabilities related to capital assets include retainage payable and any accounts payable that are attributable to the acquisition, construction, or improvement of capital assets.</w:t>
      </w:r>
      <w:r w:rsidR="00127C4F" w:rsidRPr="00E039B2">
        <w:rPr>
          <w:rFonts w:ascii="Arial" w:eastAsia="Times New Roman" w:hAnsi="Arial" w:cs="Arial"/>
          <w:b/>
          <w:i/>
          <w:color w:val="0000FF"/>
          <w:highlight w:val="yellow"/>
        </w:rPr>
        <w:t xml:space="preserve"> See GASB Codification Section 2200.118 and 2200.709 for further guidance.</w:t>
      </w:r>
      <w:r w:rsidRPr="00E039B2">
        <w:rPr>
          <w:rFonts w:ascii="Arial" w:eastAsia="Times New Roman" w:hAnsi="Arial" w:cs="Arial"/>
          <w:b/>
          <w:i/>
          <w:color w:val="0000FF"/>
        </w:rPr>
        <w:t>]</w:t>
      </w:r>
    </w:p>
    <w:p w14:paraId="28BBE5B5" w14:textId="5517B9F3"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i/>
          <w:highlight w:val="yellow"/>
        </w:rPr>
        <w:t>Expendable</w:t>
      </w:r>
      <w:r w:rsidRPr="00E039B2">
        <w:rPr>
          <w:rFonts w:ascii="Arial" w:eastAsia="Times New Roman" w:hAnsi="Arial" w:cs="Arial"/>
          <w:i/>
        </w:rPr>
        <w:t xml:space="preserve"> Restricted Net Position – </w:t>
      </w:r>
      <w:r w:rsidRPr="00E039B2">
        <w:rPr>
          <w:rFonts w:ascii="Arial" w:eastAsia="Times New Roman" w:hAnsi="Arial" w:cs="Arial"/>
          <w:highlight w:val="yellow"/>
        </w:rPr>
        <w:t>Expendable</w:t>
      </w:r>
      <w:r w:rsidRPr="00E039B2">
        <w:rPr>
          <w:rFonts w:ascii="Arial" w:eastAsia="Times New Roman" w:hAnsi="Arial" w:cs="Arial"/>
        </w:rPr>
        <w:t xml:space="preserve"> </w:t>
      </w:r>
      <w:r w:rsidRPr="00E039B2">
        <w:rPr>
          <w:rFonts w:ascii="Arial" w:eastAsia="Times New Roman" w:hAnsi="Arial" w:cs="Arial"/>
          <w:highlight w:val="yellow"/>
        </w:rPr>
        <w:t>r</w:t>
      </w:r>
      <w:r w:rsidRPr="00E039B2">
        <w:rPr>
          <w:rFonts w:ascii="Arial" w:eastAsia="Times New Roman" w:hAnsi="Arial" w:cs="Arial"/>
        </w:rPr>
        <w:t xml:space="preserve">estricted net position includes resources for which the proprietary funds are legally or contractually obligated to spend in accordance with restrictions imposed by external parties. It includes the net position of accrued employee benefits such as </w:t>
      </w:r>
      <w:r w:rsidRPr="00E039B2">
        <w:rPr>
          <w:rFonts w:ascii="Arial" w:eastAsia="Times New Roman" w:hAnsi="Arial" w:cs="Arial"/>
          <w:color w:val="0000FF"/>
        </w:rPr>
        <w:t>[</w:t>
      </w:r>
      <w:r w:rsidRPr="00E039B2">
        <w:rPr>
          <w:rFonts w:ascii="Arial" w:eastAsia="Times New Roman" w:hAnsi="Arial" w:cs="Arial"/>
          <w:color w:val="0000FF"/>
          <w:highlight w:val="yellow"/>
        </w:rPr>
        <w:t>other postemployment benefits</w:t>
      </w:r>
      <w:r w:rsidRPr="00E039B2">
        <w:rPr>
          <w:rFonts w:ascii="Arial" w:eastAsia="Times New Roman" w:hAnsi="Arial" w:cs="Arial"/>
          <w:color w:val="0000FF"/>
        </w:rPr>
        <w:t>]</w:t>
      </w:r>
      <w:r w:rsidRPr="00E039B2">
        <w:rPr>
          <w:rFonts w:ascii="Arial" w:eastAsia="Times New Roman" w:hAnsi="Arial" w:cs="Arial"/>
        </w:rPr>
        <w:t>.</w:t>
      </w:r>
      <w:r w:rsidRPr="00E039B2">
        <w:rPr>
          <w:rFonts w:ascii="Arial" w:eastAsia="Calibri" w:hAnsi="Arial" w:cs="Arial"/>
          <w:b/>
          <w:i/>
          <w:color w:val="0000FF"/>
        </w:rPr>
        <w:t xml:space="preserve"> [Modify as deemed necessary.]</w:t>
      </w:r>
    </w:p>
    <w:p w14:paraId="4B680E32" w14:textId="430543D2"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i/>
        </w:rPr>
        <w:t>Unrestricted Net Position</w:t>
      </w:r>
      <w:r w:rsidRPr="00E039B2">
        <w:rPr>
          <w:rFonts w:ascii="Arial" w:eastAsia="Times New Roman" w:hAnsi="Arial" w:cs="Arial"/>
        </w:rPr>
        <w:t xml:space="preserve"> - This represents resources derived from </w:t>
      </w:r>
      <w:r w:rsidRPr="00E039B2">
        <w:rPr>
          <w:rFonts w:ascii="Arial" w:eastAsia="Times New Roman" w:hAnsi="Arial" w:cs="Arial"/>
          <w:color w:val="0000FF"/>
        </w:rPr>
        <w:t>[fees, sales and services, unrestricted grants/gifts, premiums and investment earnings]</w:t>
      </w:r>
      <w:r w:rsidRPr="00E039B2">
        <w:rPr>
          <w:rFonts w:ascii="Arial" w:eastAsia="Times New Roman" w:hAnsi="Arial" w:cs="Arial"/>
        </w:rPr>
        <w:t xml:space="preserve">. It also includes the net position of accrued employee benefits such as </w:t>
      </w:r>
      <w:r w:rsidRPr="00E039B2">
        <w:rPr>
          <w:rFonts w:ascii="Arial" w:eastAsia="Times New Roman" w:hAnsi="Arial" w:cs="Arial"/>
          <w:color w:val="0000FF"/>
        </w:rPr>
        <w:t>[compensated absences,</w:t>
      </w:r>
      <w:r w:rsidRPr="00E039B2">
        <w:rPr>
          <w:rFonts w:ascii="Times New Roman" w:eastAsia="Times New Roman" w:hAnsi="Times New Roman" w:cs="Times New Roman"/>
        </w:rPr>
        <w:t xml:space="preserve"> </w:t>
      </w:r>
      <w:r w:rsidRPr="00E039B2">
        <w:rPr>
          <w:rFonts w:ascii="Arial" w:eastAsia="Times New Roman" w:hAnsi="Arial" w:cs="Arial"/>
          <w:color w:val="0000FF"/>
          <w:highlight w:val="yellow"/>
        </w:rPr>
        <w:t>workers’ compensation,</w:t>
      </w:r>
      <w:r w:rsidRPr="00E039B2">
        <w:rPr>
          <w:rFonts w:ascii="Arial" w:eastAsia="Times New Roman" w:hAnsi="Arial" w:cs="Arial"/>
          <w:color w:val="0000FF"/>
        </w:rPr>
        <w:t xml:space="preserve"> pension plans, and </w:t>
      </w:r>
      <w:r w:rsidRPr="00E039B2">
        <w:rPr>
          <w:rFonts w:ascii="Arial" w:eastAsia="Times New Roman" w:hAnsi="Arial" w:cs="Arial"/>
          <w:color w:val="0000FF"/>
          <w:highlight w:val="yellow"/>
        </w:rPr>
        <w:t>other postemployment benefits</w:t>
      </w:r>
      <w:r w:rsidRPr="00E039B2">
        <w:rPr>
          <w:rFonts w:ascii="Arial" w:eastAsia="Times New Roman" w:hAnsi="Arial" w:cs="Arial"/>
          <w:color w:val="0000FF"/>
        </w:rPr>
        <w:t>]</w:t>
      </w:r>
      <w:r w:rsidRPr="00E039B2">
        <w:rPr>
          <w:rFonts w:ascii="Arial" w:eastAsia="Times New Roman" w:hAnsi="Arial" w:cs="Arial"/>
        </w:rPr>
        <w:t xml:space="preserve">. </w:t>
      </w:r>
      <w:r w:rsidRPr="00E039B2">
        <w:rPr>
          <w:rFonts w:ascii="Arial" w:eastAsia="Calibri" w:hAnsi="Arial" w:cs="Arial"/>
          <w:b/>
          <w:i/>
          <w:color w:val="0000FF"/>
        </w:rPr>
        <w:t>[Modify as deemed necessary.]</w:t>
      </w:r>
    </w:p>
    <w:p w14:paraId="71F56BE7"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Times New Roman" w:hAnsi="Arial" w:cs="Arial"/>
        </w:rPr>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Department. For projects funded by tax-exempt debt proceeds and other sources, the debt proceeds are always used first. Both restricted and unrestricted net position include consideration of deferred outflows of resources and deferred inflows of resources. See Note </w:t>
      </w:r>
      <w:r w:rsidRPr="00E039B2">
        <w:rPr>
          <w:rFonts w:ascii="Arial" w:eastAsia="Times New Roman" w:hAnsi="Arial" w:cs="Arial"/>
          <w:b/>
          <w:color w:val="0000FF"/>
        </w:rPr>
        <w:t>XX</w:t>
      </w:r>
      <w:r w:rsidRPr="00E039B2">
        <w:rPr>
          <w:rFonts w:ascii="Arial" w:eastAsia="Times New Roman" w:hAnsi="Arial" w:cs="Arial"/>
          <w:color w:val="0000FF"/>
        </w:rPr>
        <w:t xml:space="preserve"> </w:t>
      </w:r>
      <w:r w:rsidRPr="00E039B2">
        <w:rPr>
          <w:rFonts w:ascii="Arial" w:eastAsia="Times New Roman" w:hAnsi="Arial" w:cs="Arial"/>
        </w:rPr>
        <w:t>for further information regarding deferred outflows of resources and deferred inflows of resources that had a significant effect on unrestricted net position.</w:t>
      </w:r>
    </w:p>
    <w:p w14:paraId="6F3971A7" w14:textId="77777777" w:rsidR="00966C79" w:rsidRPr="00E039B2" w:rsidRDefault="00966C79" w:rsidP="00966C79">
      <w:pPr>
        <w:spacing w:after="240" w:line="240" w:lineRule="auto"/>
        <w:ind w:left="1915"/>
        <w:jc w:val="both"/>
        <w:rPr>
          <w:rFonts w:ascii="Arial" w:eastAsia="Times New Roman" w:hAnsi="Arial" w:cs="Arial"/>
        </w:rPr>
      </w:pPr>
      <w:r w:rsidRPr="00E039B2">
        <w:rPr>
          <w:rFonts w:ascii="Arial" w:eastAsia="Calibri" w:hAnsi="Arial" w:cs="Arial"/>
          <w:b/>
          <w:i/>
          <w:color w:val="0000FF"/>
        </w:rPr>
        <w:t>[Modify above as deemed necessary. Delete if not applicable.]</w:t>
      </w:r>
    </w:p>
    <w:p w14:paraId="09CA13E0" w14:textId="77777777" w:rsidR="00966C79" w:rsidRPr="00E039B2" w:rsidRDefault="00966C79" w:rsidP="00966C79">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bCs/>
        </w:rPr>
        <w:t>P.</w:t>
      </w:r>
      <w:r w:rsidRPr="00E039B2">
        <w:rPr>
          <w:rFonts w:ascii="Arial" w:eastAsia="Times New Roman" w:hAnsi="Arial" w:cs="Arial"/>
          <w:b/>
          <w:bCs/>
        </w:rPr>
        <w:tab/>
        <w:t xml:space="preserve">Revenues and Expenditures from/to Other State Agencies </w:t>
      </w:r>
      <w:r w:rsidRPr="00E039B2">
        <w:rPr>
          <w:rFonts w:ascii="Arial" w:eastAsia="Times New Roman" w:hAnsi="Arial" w:cs="Arial"/>
          <w:bCs/>
        </w:rPr>
        <w:t>-</w:t>
      </w:r>
      <w:r w:rsidRPr="00E039B2">
        <w:rPr>
          <w:rFonts w:ascii="Arial" w:eastAsia="Times New Roman" w:hAnsi="Arial" w:cs="Arial"/>
          <w:b/>
          <w:bCs/>
        </w:rPr>
        <w:t xml:space="preserve"> </w:t>
      </w:r>
      <w:r w:rsidRPr="00E039B2">
        <w:rPr>
          <w:rFonts w:ascii="Arial" w:eastAsia="Times New Roman" w:hAnsi="Arial" w:cs="Arial"/>
        </w:rPr>
        <w:t xml:space="preserve">Revenues and expenditures from/to other state agencies for the governmental funds represent amounts that the Department obtains from or transfers to other agencies, institutions, or entities within the State of North Carolina. These transfers are not considered other financing sources or uses per GAAP, nor are they considered interfund transfers. These revenues and expenditures represent nonexchange transactions and are eliminated at the statewide reporting level in the State’s </w:t>
      </w:r>
      <w:r w:rsidRPr="00E039B2">
        <w:rPr>
          <w:rFonts w:ascii="Arial" w:eastAsia="Times New Roman" w:hAnsi="Arial" w:cs="Arial"/>
          <w:i/>
          <w:iCs/>
        </w:rPr>
        <w:t>Comprehensive Annual Financial Report</w:t>
      </w:r>
      <w:r w:rsidRPr="00E039B2">
        <w:rPr>
          <w:rFonts w:ascii="Arial" w:eastAsia="Times New Roman" w:hAnsi="Arial" w:cs="Arial"/>
        </w:rPr>
        <w:t>.</w:t>
      </w:r>
    </w:p>
    <w:p w14:paraId="286923C3" w14:textId="77777777" w:rsidR="00966C79" w:rsidRPr="00E039B2" w:rsidRDefault="00966C79" w:rsidP="00966C79">
      <w:pPr>
        <w:spacing w:after="240" w:line="240" w:lineRule="auto"/>
        <w:ind w:left="1915" w:hanging="475"/>
        <w:jc w:val="both"/>
        <w:rPr>
          <w:rFonts w:ascii="Arial" w:eastAsia="Times New Roman" w:hAnsi="Arial" w:cs="Arial"/>
        </w:rPr>
      </w:pPr>
      <w:r w:rsidRPr="00E039B2">
        <w:rPr>
          <w:rFonts w:ascii="Arial" w:eastAsia="Times New Roman" w:hAnsi="Arial" w:cs="Arial"/>
          <w:b/>
        </w:rPr>
        <w:t>Q.</w:t>
      </w:r>
      <w:r w:rsidRPr="00E039B2">
        <w:rPr>
          <w:rFonts w:ascii="Arial" w:eastAsia="Times New Roman" w:hAnsi="Arial" w:cs="Arial"/>
          <w:b/>
        </w:rPr>
        <w:tab/>
        <w:t xml:space="preserve">Revenues and Expenses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The proprietary funds classify revenues and expenses as operating or nonoperating in the accompanying Statement of Revenues, Expenses, and Changes in Net Position. Operating revenues and expenses generally result from providing services and producing and delivering goods in connection with the proprietary funds’ principal ongoing operations. Operating revenues include activities that have characteristics of exchange transactions, such as </w:t>
      </w:r>
      <w:r w:rsidRPr="00E039B2">
        <w:rPr>
          <w:rFonts w:ascii="Arial" w:eastAsia="Times New Roman" w:hAnsi="Arial" w:cs="Arial"/>
          <w:color w:val="0000FF"/>
        </w:rPr>
        <w:t>[describe]</w:t>
      </w:r>
      <w:r w:rsidRPr="00E039B2">
        <w:rPr>
          <w:rFonts w:ascii="Arial" w:eastAsia="Times New Roman" w:hAnsi="Arial" w:cs="Arial"/>
        </w:rPr>
        <w:t xml:space="preserve">. Operating expenses are all </w:t>
      </w:r>
      <w:r w:rsidRPr="00E039B2">
        <w:rPr>
          <w:rFonts w:ascii="Arial" w:eastAsia="Times New Roman" w:hAnsi="Arial" w:cs="Arial"/>
        </w:rPr>
        <w:lastRenderedPageBreak/>
        <w:t xml:space="preserve">expense transactions incurred other than those related to capital and noncapital financing or investing activities as defined by GASB Statement No. 9, </w:t>
      </w:r>
      <w:r w:rsidRPr="00E039B2">
        <w:rPr>
          <w:rFonts w:ascii="Arial" w:eastAsia="Times New Roman" w:hAnsi="Arial" w:cs="Arial"/>
          <w:i/>
          <w:iCs/>
        </w:rPr>
        <w:t>Reporting Cash Flows of Proprietary and Nonexpendable Trust Funds and Governmental Entities That Use Proprietary Fund Accounting</w:t>
      </w:r>
      <w:r w:rsidRPr="00E039B2">
        <w:rPr>
          <w:rFonts w:ascii="Arial" w:eastAsia="Times New Roman" w:hAnsi="Arial" w:cs="Arial"/>
        </w:rPr>
        <w:t xml:space="preserve">. </w:t>
      </w:r>
      <w:r w:rsidRPr="00E039B2">
        <w:rPr>
          <w:rFonts w:ascii="Arial" w:eastAsia="Calibri" w:hAnsi="Arial" w:cs="Arial"/>
          <w:b/>
          <w:i/>
          <w:color w:val="0000FF"/>
        </w:rPr>
        <w:t>[Modify as deemed necessary.]</w:t>
      </w:r>
    </w:p>
    <w:p w14:paraId="648DA9D5" w14:textId="77777777" w:rsidR="00966C79" w:rsidRPr="00E039B2" w:rsidRDefault="00966C79" w:rsidP="00966C79">
      <w:pPr>
        <w:spacing w:after="240" w:line="240" w:lineRule="auto"/>
        <w:ind w:left="1915"/>
        <w:jc w:val="both"/>
        <w:rPr>
          <w:rFonts w:ascii="Arial" w:eastAsia="Calibri" w:hAnsi="Arial" w:cs="Arial"/>
          <w:b/>
          <w:i/>
          <w:color w:val="0000FF"/>
        </w:rPr>
      </w:pPr>
      <w:r w:rsidRPr="00E039B2">
        <w:rPr>
          <w:rFonts w:ascii="Arial" w:eastAsia="Times New Roman" w:hAnsi="Arial" w:cs="Arial"/>
        </w:rPr>
        <w:t xml:space="preserve">Nonoperating revenues include activities that have the characteristics of nonexchange transactions. Revenues from nonexchange transactions that represent </w:t>
      </w:r>
      <w:r w:rsidRPr="00E039B2">
        <w:rPr>
          <w:rFonts w:ascii="Arial" w:eastAsia="Times New Roman" w:hAnsi="Arial" w:cs="Arial"/>
          <w:color w:val="0000FF"/>
        </w:rPr>
        <w:t>[grants or assistance to the Department, as well as investment earnings]</w:t>
      </w:r>
      <w:r w:rsidRPr="00E039B2">
        <w:rPr>
          <w:rFonts w:ascii="Arial" w:eastAsia="Times New Roman" w:hAnsi="Arial" w:cs="Arial"/>
        </w:rPr>
        <w:t xml:space="preserve">, are considered nonoperating since these are either investing, capital, or noncapital financing activities. </w:t>
      </w:r>
      <w:r w:rsidRPr="00E039B2">
        <w:rPr>
          <w:rFonts w:ascii="Arial" w:eastAsia="Times New Roman" w:hAnsi="Arial" w:cs="Arial"/>
          <w:color w:val="0000FF"/>
        </w:rPr>
        <w:t>[Capital contributions are reported separately, after nonoperating revenues and expenses.]</w:t>
      </w:r>
      <w:r w:rsidRPr="00E039B2">
        <w:rPr>
          <w:rFonts w:ascii="Arial" w:eastAsia="Calibri" w:hAnsi="Arial" w:cs="Arial"/>
          <w:b/>
          <w:i/>
          <w:color w:val="0000FF"/>
        </w:rPr>
        <w:t xml:space="preserve"> [Modify as deemed necessary.]</w:t>
      </w:r>
    </w:p>
    <w:p w14:paraId="3386F4B9" w14:textId="6F077ACD" w:rsidR="00D46EDA" w:rsidRPr="00E039B2" w:rsidRDefault="004A0566" w:rsidP="00D46EDA">
      <w:pPr>
        <w:spacing w:after="240" w:line="240" w:lineRule="auto"/>
        <w:ind w:left="1915" w:hanging="475"/>
        <w:jc w:val="both"/>
        <w:rPr>
          <w:rFonts w:ascii="Arial" w:eastAsia="Times New Roman" w:hAnsi="Arial" w:cs="Arial"/>
        </w:rPr>
      </w:pPr>
      <w:r w:rsidRPr="00E039B2">
        <w:rPr>
          <w:rFonts w:ascii="Arial" w:hAnsi="Arial" w:cs="Arial"/>
          <w:b/>
        </w:rPr>
        <w:t>R</w:t>
      </w:r>
      <w:r w:rsidR="00966C79" w:rsidRPr="00E039B2">
        <w:rPr>
          <w:rFonts w:ascii="Arial" w:hAnsi="Arial" w:cs="Arial"/>
          <w:b/>
        </w:rPr>
        <w:t>.</w:t>
      </w:r>
      <w:r w:rsidR="00966C79" w:rsidRPr="00E039B2">
        <w:rPr>
          <w:rFonts w:ascii="Arial" w:hAnsi="Arial" w:cs="Arial"/>
          <w:b/>
        </w:rPr>
        <w:tab/>
        <w:t>Transfers from/to State Reserve Fund</w:t>
      </w:r>
      <w:r w:rsidR="00966C79" w:rsidRPr="00E039B2">
        <w:rPr>
          <w:rFonts w:ascii="Arial" w:hAnsi="Arial" w:cs="Arial"/>
        </w:rPr>
        <w:t xml:space="preserve"> - These transfers are for funds obligated in the current year, but not spent at year-end, that will be carried forward to the next fiscal year. The Department must obtain authorization from the Office of State Budget and Management (OSBM) to </w:t>
      </w:r>
      <w:r w:rsidR="00966C79" w:rsidRPr="00E039B2">
        <w:rPr>
          <w:rFonts w:ascii="Arial" w:hAnsi="Arial" w:cs="Arial"/>
          <w:highlight w:val="yellow"/>
        </w:rPr>
        <w:t>carry forward</w:t>
      </w:r>
      <w:r w:rsidR="00966C79" w:rsidRPr="00E039B2">
        <w:rPr>
          <w:rFonts w:ascii="Arial" w:hAnsi="Arial" w:cs="Arial"/>
        </w:rPr>
        <w:t xml:space="preserve"> funds. At year-end, these funds are transferred to the State Reserve Fund and held by the North Carolina Office of the State Controller until approval is granted from OSBM to return the funds to the Department in the next fiscal year</w:t>
      </w:r>
      <w:r w:rsidR="00966C79" w:rsidRPr="00E039B2">
        <w:rPr>
          <w:rFonts w:ascii="Arial" w:eastAsia="Calibri" w:hAnsi="Arial" w:cs="Arial"/>
          <w:b/>
          <w:i/>
          <w:color w:val="0000FF"/>
        </w:rPr>
        <w:t xml:space="preserve"> [Modify as deemed necessary. Delete if not applicable.]</w:t>
      </w:r>
      <w:r w:rsidR="00D46EDA" w:rsidRPr="00E039B2">
        <w:rPr>
          <w:rFonts w:ascii="Arial" w:eastAsia="Times New Roman" w:hAnsi="Arial" w:cs="Arial"/>
        </w:rPr>
        <w:br/>
      </w:r>
    </w:p>
    <w:p w14:paraId="1E27A1EB" w14:textId="77777777" w:rsidR="005A4086" w:rsidRPr="00E039B2" w:rsidRDefault="005A4086" w:rsidP="005A4086">
      <w:pPr>
        <w:tabs>
          <w:tab w:val="left" w:pos="1080"/>
        </w:tabs>
        <w:spacing w:after="240" w:line="240" w:lineRule="auto"/>
        <w:ind w:left="1440" w:hanging="1440"/>
        <w:rPr>
          <w:rFonts w:ascii="Arial" w:eastAsia="Times New Roman" w:hAnsi="Arial" w:cs="Arial"/>
          <w:b/>
          <w:i/>
          <w:smallCaps/>
          <w:color w:val="0000FF"/>
        </w:rPr>
      </w:pPr>
      <w:r w:rsidRPr="00E039B2">
        <w:rPr>
          <w:rFonts w:ascii="Arial" w:eastAsia="Times New Roman" w:hAnsi="Arial" w:cs="Arial"/>
          <w:b/>
          <w:smallCaps/>
        </w:rPr>
        <w:t>Note 2</w:t>
      </w:r>
      <w:r w:rsidRPr="00E039B2">
        <w:rPr>
          <w:rFonts w:ascii="Arial" w:eastAsia="Times New Roman" w:hAnsi="Arial" w:cs="Arial"/>
          <w:b/>
          <w:smallCaps/>
        </w:rPr>
        <w:tab/>
        <w:t>-</w:t>
      </w:r>
      <w:r w:rsidRPr="00E039B2">
        <w:rPr>
          <w:rFonts w:ascii="Arial" w:eastAsia="Times New Roman" w:hAnsi="Arial" w:cs="Arial"/>
          <w:b/>
          <w:smallCaps/>
        </w:rPr>
        <w:tab/>
        <w:t xml:space="preserve">Deposits </w:t>
      </w:r>
      <w:r w:rsidRPr="00E039B2">
        <w:rPr>
          <w:rFonts w:ascii="Arial" w:eastAsia="Times New Roman" w:hAnsi="Arial" w:cs="Arial"/>
          <w:b/>
          <w:i/>
          <w:smallCaps/>
          <w:color w:val="0000FF"/>
        </w:rPr>
        <w:t>[For use by Departments with no Investments]</w:t>
      </w:r>
    </w:p>
    <w:p w14:paraId="717B70FC" w14:textId="733B9D33" w:rsidR="005A4086" w:rsidRPr="00E039B2" w:rsidRDefault="005A4086" w:rsidP="005A4086">
      <w:pPr>
        <w:tabs>
          <w:tab w:val="left" w:pos="1560"/>
        </w:tabs>
        <w:spacing w:after="240" w:line="240" w:lineRule="auto"/>
        <w:ind w:left="1440"/>
        <w:contextualSpacing/>
        <w:jc w:val="both"/>
        <w:rPr>
          <w:rFonts w:ascii="Arial" w:eastAsia="Times New Roman" w:hAnsi="Arial" w:cs="Arial"/>
        </w:rPr>
      </w:pPr>
      <w:r w:rsidRPr="00E039B2">
        <w:rPr>
          <w:rFonts w:ascii="Arial" w:eastAsia="Times New Roman" w:hAnsi="Arial" w:cs="Arial"/>
        </w:rPr>
        <w:t xml:space="preserve">Unless specifically exempt, </w:t>
      </w:r>
      <w:r w:rsidRPr="00E039B2">
        <w:rPr>
          <w:rFonts w:ascii="Arial" w:eastAsia="Times New Roman" w:hAnsi="Arial" w:cs="Arial"/>
          <w:highlight w:val="yellow"/>
        </w:rPr>
        <w:t>the Department is</w:t>
      </w:r>
      <w:r w:rsidRPr="00E039B2">
        <w:rPr>
          <w:rFonts w:ascii="Arial" w:eastAsia="Times New Roman" w:hAnsi="Arial" w:cs="Arial"/>
        </w:rPr>
        <w:t xml:space="preserve"> required by </w:t>
      </w:r>
      <w:r w:rsidRPr="00E039B2">
        <w:rPr>
          <w:rFonts w:ascii="Arial" w:eastAsia="Times New Roman" w:hAnsi="Arial" w:cs="Arial"/>
          <w:i/>
        </w:rPr>
        <w:t>North Carolina General Statute</w:t>
      </w:r>
      <w:r w:rsidRPr="00E039B2">
        <w:rPr>
          <w:rFonts w:ascii="Arial" w:eastAsia="Times New Roman" w:hAnsi="Arial" w:cs="Arial"/>
        </w:rPr>
        <w:t xml:space="preserve"> 147-77 to deposit moneys received with the State Treasurer or with a depository institution in the name of the State Treasurer. General Statute 147-69.1 authorizes the State Treasurer to invest all deposits in the following: obligations of or fully guaranteed by the United States; obligations of certain federal agencies; specified repurchase agreements; obligations of the State of North Carolina; time deposits with specified financial institutions; prime quality commercial paper with specified ratings; specified bills of exchange or time drafts; asset-backed securities with specified ratings; and corporate bonds and notes with specified ratings. </w:t>
      </w:r>
    </w:p>
    <w:p w14:paraId="19EA7553" w14:textId="77777777" w:rsidR="004A0566" w:rsidRPr="00E039B2" w:rsidRDefault="004A0566" w:rsidP="005A4086">
      <w:pPr>
        <w:tabs>
          <w:tab w:val="left" w:pos="1560"/>
        </w:tabs>
        <w:spacing w:after="240" w:line="240" w:lineRule="auto"/>
        <w:ind w:left="1440"/>
        <w:contextualSpacing/>
        <w:jc w:val="both"/>
        <w:rPr>
          <w:rFonts w:ascii="Arial" w:eastAsia="Times New Roman" w:hAnsi="Arial" w:cs="Arial"/>
        </w:rPr>
      </w:pPr>
    </w:p>
    <w:p w14:paraId="27AA71BA" w14:textId="34379135" w:rsidR="005A4086" w:rsidRPr="00E039B2" w:rsidRDefault="005A4086" w:rsidP="005A4086">
      <w:pPr>
        <w:spacing w:after="240" w:line="240" w:lineRule="auto"/>
        <w:ind w:left="1440"/>
        <w:jc w:val="both"/>
        <w:rPr>
          <w:rFonts w:ascii="Arial" w:eastAsia="Times New Roman" w:hAnsi="Arial" w:cs="Arial"/>
        </w:rPr>
      </w:pPr>
      <w:r w:rsidRPr="00E039B2">
        <w:rPr>
          <w:rFonts w:ascii="Arial" w:eastAsia="Times New Roman" w:hAnsi="Arial" w:cs="Arial"/>
          <w:highlight w:val="yellow"/>
        </w:rPr>
        <w:t>The amount shown on the governmental funds’ Balance Sheet as</w:t>
      </w:r>
      <w:r w:rsidRPr="00E039B2">
        <w:rPr>
          <w:rFonts w:ascii="Arial" w:eastAsia="Times New Roman" w:hAnsi="Arial" w:cs="Arial"/>
        </w:rPr>
        <w:t xml:space="preserve"> </w:t>
      </w:r>
      <w:r w:rsidRPr="00E039B2">
        <w:rPr>
          <w:rFonts w:ascii="Arial" w:eastAsia="Times New Roman" w:hAnsi="Arial" w:cs="Arial"/>
          <w:highlight w:val="yellow"/>
        </w:rPr>
        <w:t>cash and cash equivalents included cash on hand totaling $_______ and deposits in private financial institutions with a carrying value</w:t>
      </w:r>
      <w:r w:rsidR="00B5613F">
        <w:rPr>
          <w:rFonts w:ascii="Arial" w:eastAsia="Times New Roman" w:hAnsi="Arial" w:cs="Arial"/>
          <w:highlight w:val="yellow"/>
        </w:rPr>
        <w:t xml:space="preserve"> of </w:t>
      </w:r>
      <w:r w:rsidR="00B5613F" w:rsidRPr="00E039B2">
        <w:rPr>
          <w:rFonts w:ascii="Arial" w:eastAsia="Times New Roman" w:hAnsi="Arial" w:cs="Arial"/>
          <w:highlight w:val="yellow"/>
        </w:rPr>
        <w:t>$_______</w:t>
      </w:r>
      <w:r w:rsidRPr="00E039B2">
        <w:rPr>
          <w:rFonts w:ascii="Arial" w:eastAsia="Times New Roman" w:hAnsi="Arial" w:cs="Arial"/>
          <w:highlight w:val="yellow"/>
        </w:rPr>
        <w:t xml:space="preserve"> and bank balance of $_______. As of June 30, 2020, $_______ of the Department’s bank balances was exposed to custodial credit risk as uninsured and uncollateralized. Custodial credit risk is the risk that in the event of a bank failure, the Department’s deposits may not be returned to it. As of June 30, 2020, the Department’s bank balance in excess of federal depository insurance coverage was covered under the pooling method.</w:t>
      </w:r>
    </w:p>
    <w:p w14:paraId="50D9C1EA" w14:textId="77777777" w:rsidR="005A4086" w:rsidRPr="00E039B2" w:rsidRDefault="005A4086" w:rsidP="005A4086">
      <w:pPr>
        <w:tabs>
          <w:tab w:val="left" w:pos="1890"/>
        </w:tabs>
        <w:spacing w:after="240" w:line="240" w:lineRule="auto"/>
        <w:ind w:left="1440"/>
        <w:contextualSpacing/>
        <w:rPr>
          <w:rFonts w:ascii="Arial" w:eastAsia="Times New Roman" w:hAnsi="Arial" w:cs="Arial"/>
          <w:b/>
          <w:i/>
          <w:color w:val="0000FF"/>
        </w:rPr>
      </w:pPr>
      <w:r w:rsidRPr="00E039B2">
        <w:rPr>
          <w:rFonts w:ascii="Arial" w:eastAsia="Times New Roman" w:hAnsi="Arial" w:cs="Arial"/>
          <w:b/>
          <w:i/>
          <w:color w:val="0000FF"/>
        </w:rPr>
        <w:tab/>
        <w:t xml:space="preserve">[Use the following paragraph if </w:t>
      </w:r>
      <w:r w:rsidRPr="00E039B2">
        <w:rPr>
          <w:rFonts w:ascii="Arial" w:eastAsia="Times New Roman" w:hAnsi="Arial" w:cs="Arial"/>
          <w:b/>
          <w:i/>
          <w:color w:val="0000FF"/>
          <w:u w:val="single"/>
        </w:rPr>
        <w:t>only</w:t>
      </w:r>
      <w:r w:rsidRPr="00E039B2">
        <w:rPr>
          <w:rFonts w:ascii="Arial" w:eastAsia="Times New Roman" w:hAnsi="Arial" w:cs="Arial"/>
          <w:b/>
          <w:i/>
          <w:color w:val="0000FF"/>
        </w:rPr>
        <w:t xml:space="preserve"> governmental funds]</w:t>
      </w:r>
    </w:p>
    <w:p w14:paraId="4CF10393" w14:textId="77777777" w:rsidR="005A4086" w:rsidRPr="00E039B2" w:rsidRDefault="005A4086" w:rsidP="005A4086">
      <w:pPr>
        <w:tabs>
          <w:tab w:val="left" w:pos="1560"/>
        </w:tabs>
        <w:spacing w:after="240" w:line="240" w:lineRule="auto"/>
        <w:ind w:left="1440"/>
        <w:contextualSpacing/>
        <w:jc w:val="both"/>
        <w:rPr>
          <w:rFonts w:ascii="Arial" w:eastAsia="Times New Roman" w:hAnsi="Arial" w:cs="Arial"/>
        </w:rPr>
      </w:pPr>
    </w:p>
    <w:p w14:paraId="552308E0" w14:textId="70270B4D" w:rsidR="005A4086" w:rsidRPr="00E039B2" w:rsidRDefault="005A4086" w:rsidP="005A4086">
      <w:pPr>
        <w:spacing w:after="240" w:line="240" w:lineRule="auto"/>
        <w:ind w:left="1440"/>
        <w:jc w:val="both"/>
        <w:rPr>
          <w:rFonts w:ascii="Arial" w:eastAsia="Times New Roman" w:hAnsi="Arial" w:cs="Arial"/>
        </w:rPr>
      </w:pPr>
      <w:r w:rsidRPr="00E039B2">
        <w:rPr>
          <w:rFonts w:ascii="Arial" w:eastAsia="Times New Roman" w:hAnsi="Arial" w:cs="Arial"/>
        </w:rPr>
        <w:t xml:space="preserve">At June 30, </w:t>
      </w:r>
      <w:r w:rsidRPr="00E039B2">
        <w:rPr>
          <w:rFonts w:ascii="Arial" w:eastAsia="Times New Roman" w:hAnsi="Arial" w:cs="Arial"/>
          <w:highlight w:val="yellow"/>
          <w:lang w:bidi="en-US"/>
        </w:rPr>
        <w:t>2020</w:t>
      </w:r>
      <w:r w:rsidRPr="00E039B2">
        <w:rPr>
          <w:rFonts w:ascii="Arial" w:eastAsia="Times New Roman" w:hAnsi="Arial" w:cs="Arial"/>
        </w:rPr>
        <w:t xml:space="preserve">, the Balance Sheet reported cash and cash equivalents of $_______, which represents the Department’s equity position in the State </w:t>
      </w:r>
      <w:r w:rsidRPr="00E039B2">
        <w:rPr>
          <w:rFonts w:ascii="Arial" w:eastAsia="Times New Roman" w:hAnsi="Arial" w:cs="Arial"/>
        </w:rPr>
        <w:lastRenderedPageBreak/>
        <w:t xml:space="preserve">Treasurer’s Short-Term Investment Fund (STIF). The STIF (a portfolio within the State Treasurer’s Investment Pool, an external investment pool that is not registered with the Securities and Exchange Commission or subject to any formal oversight other than that of the legislative body) had a weighted average maturity of </w:t>
      </w:r>
      <w:r w:rsidR="0028168E" w:rsidRPr="00E039B2">
        <w:rPr>
          <w:rFonts w:ascii="Arial" w:eastAsia="Times New Roman" w:hAnsi="Arial" w:cs="Arial"/>
        </w:rPr>
        <w:t>1</w:t>
      </w:r>
      <w:r w:rsidRPr="00E039B2">
        <w:rPr>
          <w:rFonts w:ascii="Arial" w:eastAsia="Times New Roman" w:hAnsi="Arial" w:cs="Arial"/>
        </w:rPr>
        <w:t>.</w:t>
      </w:r>
      <w:r w:rsidR="0028168E" w:rsidRPr="00E039B2">
        <w:rPr>
          <w:rFonts w:ascii="Arial" w:eastAsia="Times New Roman" w:hAnsi="Arial" w:cs="Arial"/>
        </w:rPr>
        <w:t>3</w:t>
      </w:r>
      <w:r w:rsidRPr="00E039B2">
        <w:rPr>
          <w:rFonts w:ascii="Arial" w:eastAsia="Times New Roman" w:hAnsi="Arial" w:cs="Arial"/>
        </w:rPr>
        <w:t xml:space="preserve"> years as of June 30, 2019. Assets and shares of the STIF are valued at fair value. </w:t>
      </w:r>
    </w:p>
    <w:p w14:paraId="3C18577C" w14:textId="77777777" w:rsidR="005A4086" w:rsidRPr="00E039B2" w:rsidRDefault="005A4086" w:rsidP="005A4086">
      <w:pPr>
        <w:tabs>
          <w:tab w:val="left" w:pos="1890"/>
        </w:tabs>
        <w:spacing w:after="240" w:line="240" w:lineRule="auto"/>
        <w:ind w:left="1440"/>
        <w:contextualSpacing/>
        <w:jc w:val="center"/>
        <w:rPr>
          <w:rFonts w:ascii="Arial" w:eastAsia="Times New Roman" w:hAnsi="Arial" w:cs="Arial"/>
          <w:b/>
          <w:i/>
          <w:color w:val="0000FF"/>
        </w:rPr>
      </w:pPr>
      <w:r w:rsidRPr="00E039B2">
        <w:rPr>
          <w:rFonts w:ascii="Arial" w:eastAsia="Times New Roman" w:hAnsi="Arial" w:cs="Arial"/>
          <w:b/>
          <w:i/>
          <w:color w:val="0000FF"/>
        </w:rPr>
        <w:t>OR</w:t>
      </w:r>
    </w:p>
    <w:p w14:paraId="0CE10F49" w14:textId="77777777" w:rsidR="005A4086" w:rsidRPr="00E039B2" w:rsidRDefault="005A4086" w:rsidP="005A4086">
      <w:pPr>
        <w:tabs>
          <w:tab w:val="left" w:pos="1890"/>
        </w:tabs>
        <w:spacing w:after="240" w:line="240" w:lineRule="auto"/>
        <w:ind w:left="1440"/>
        <w:contextualSpacing/>
        <w:jc w:val="both"/>
        <w:rPr>
          <w:rFonts w:ascii="Arial" w:eastAsia="Times New Roman" w:hAnsi="Arial" w:cs="Arial"/>
          <w:b/>
          <w:i/>
          <w:color w:val="0000FF"/>
        </w:rPr>
      </w:pPr>
    </w:p>
    <w:p w14:paraId="311411D4" w14:textId="77777777" w:rsidR="005A4086" w:rsidRPr="00E039B2" w:rsidRDefault="005A4086" w:rsidP="005A4086">
      <w:pPr>
        <w:tabs>
          <w:tab w:val="left" w:pos="1890"/>
        </w:tabs>
        <w:spacing w:after="240" w:line="240" w:lineRule="auto"/>
        <w:ind w:left="1440"/>
        <w:contextualSpacing/>
        <w:jc w:val="both"/>
        <w:rPr>
          <w:rFonts w:ascii="Arial" w:eastAsia="Times New Roman" w:hAnsi="Arial" w:cs="Arial"/>
        </w:rPr>
      </w:pPr>
      <w:r w:rsidRPr="00E039B2">
        <w:rPr>
          <w:rFonts w:ascii="Arial" w:eastAsia="Times New Roman" w:hAnsi="Arial" w:cs="Arial"/>
          <w:b/>
          <w:i/>
          <w:color w:val="0000FF"/>
        </w:rPr>
        <w:t xml:space="preserve">[Use the following paragraph if </w:t>
      </w:r>
      <w:r w:rsidRPr="00E039B2">
        <w:rPr>
          <w:rFonts w:ascii="Arial" w:eastAsia="Times New Roman" w:hAnsi="Arial" w:cs="Arial"/>
          <w:b/>
          <w:i/>
          <w:color w:val="0000FF"/>
          <w:u w:val="single"/>
        </w:rPr>
        <w:t>BOTH</w:t>
      </w:r>
      <w:r w:rsidRPr="00E039B2">
        <w:rPr>
          <w:rFonts w:ascii="Arial" w:eastAsia="Times New Roman" w:hAnsi="Arial" w:cs="Arial"/>
          <w:b/>
          <w:i/>
          <w:color w:val="0000FF"/>
        </w:rPr>
        <w:t xml:space="preserve"> governmental and proprietary funds]</w:t>
      </w:r>
    </w:p>
    <w:p w14:paraId="69FCAF3B" w14:textId="77777777" w:rsidR="005A4086" w:rsidRPr="00E039B2" w:rsidRDefault="005A4086" w:rsidP="005A4086">
      <w:pPr>
        <w:tabs>
          <w:tab w:val="left" w:pos="1560"/>
        </w:tabs>
        <w:spacing w:after="240" w:line="240" w:lineRule="auto"/>
        <w:ind w:left="1440"/>
        <w:contextualSpacing/>
        <w:jc w:val="both"/>
        <w:rPr>
          <w:rFonts w:ascii="Arial" w:eastAsia="Times New Roman" w:hAnsi="Arial" w:cs="Arial"/>
        </w:rPr>
      </w:pPr>
    </w:p>
    <w:p w14:paraId="1DDB53A3" w14:textId="084F58B7" w:rsidR="005A4086" w:rsidRPr="00E039B2" w:rsidRDefault="005A4086" w:rsidP="005A4086">
      <w:pPr>
        <w:spacing w:after="240" w:line="240" w:lineRule="auto"/>
        <w:ind w:left="1440"/>
        <w:jc w:val="both"/>
        <w:rPr>
          <w:rFonts w:ascii="Arial" w:eastAsia="Times New Roman" w:hAnsi="Arial" w:cs="Arial"/>
        </w:rPr>
      </w:pPr>
      <w:r w:rsidRPr="00E039B2">
        <w:rPr>
          <w:rFonts w:ascii="Arial" w:eastAsia="Times New Roman" w:hAnsi="Arial" w:cs="Arial"/>
        </w:rPr>
        <w:t xml:space="preserve">At June 30, </w:t>
      </w:r>
      <w:r w:rsidRPr="00E039B2">
        <w:rPr>
          <w:rFonts w:ascii="Arial" w:eastAsia="Times New Roman" w:hAnsi="Arial" w:cs="Arial"/>
          <w:highlight w:val="yellow"/>
          <w:lang w:bidi="en-US"/>
        </w:rPr>
        <w:t>2020</w:t>
      </w:r>
      <w:r w:rsidRPr="00E039B2">
        <w:rPr>
          <w:rFonts w:ascii="Arial" w:eastAsia="Times New Roman" w:hAnsi="Arial" w:cs="Arial"/>
        </w:rPr>
        <w:t xml:space="preserve">, the governmental funds’ Balance Sheet reported cash and cash equivalents of $_______. The proprietary funds’ Statement of Net Position reported cash and cash equivalents of $_______ for the same date. These amounts represent the Department’s equity position in the State Treasurer’s Short-Term Investment Fund (STIF). The STIF (a portfolio within the State Treasurer’s Investment Pool, an external investment pool that is not registered with the Securities and Exchange Commission or subject to any formal oversight other than that of the legislative body) had a weighted average maturity of </w:t>
      </w:r>
      <w:r w:rsidR="0028168E" w:rsidRPr="00E039B2">
        <w:rPr>
          <w:rFonts w:ascii="Arial" w:eastAsia="Times New Roman" w:hAnsi="Arial" w:cs="Arial"/>
        </w:rPr>
        <w:t>1</w:t>
      </w:r>
      <w:r w:rsidRPr="00E039B2">
        <w:rPr>
          <w:rFonts w:ascii="Arial" w:eastAsia="Times New Roman" w:hAnsi="Arial" w:cs="Arial"/>
        </w:rPr>
        <w:t>.</w:t>
      </w:r>
      <w:r w:rsidR="0028168E" w:rsidRPr="00E039B2">
        <w:rPr>
          <w:rFonts w:ascii="Arial" w:eastAsia="Times New Roman" w:hAnsi="Arial" w:cs="Arial"/>
        </w:rPr>
        <w:t>3</w:t>
      </w:r>
      <w:r w:rsidRPr="00E039B2">
        <w:rPr>
          <w:rFonts w:ascii="Arial" w:eastAsia="Times New Roman" w:hAnsi="Arial" w:cs="Arial"/>
        </w:rPr>
        <w:t xml:space="preserve"> years as of June 30, </w:t>
      </w:r>
      <w:r w:rsidRPr="00E039B2">
        <w:rPr>
          <w:rFonts w:ascii="Arial" w:eastAsia="Times New Roman" w:hAnsi="Arial" w:cs="Arial"/>
          <w:highlight w:val="yellow"/>
          <w:lang w:bidi="en-US"/>
        </w:rPr>
        <w:t>2020</w:t>
      </w:r>
      <w:r w:rsidRPr="00E039B2">
        <w:rPr>
          <w:rFonts w:ascii="Arial" w:eastAsia="Times New Roman" w:hAnsi="Arial" w:cs="Arial"/>
        </w:rPr>
        <w:t xml:space="preserve">. Assets and shares of the STIF are valued at fair value. </w:t>
      </w:r>
    </w:p>
    <w:p w14:paraId="02244898" w14:textId="77777777" w:rsidR="005A4086" w:rsidRPr="00E039B2" w:rsidRDefault="005A4086" w:rsidP="005A4086">
      <w:pPr>
        <w:spacing w:after="240" w:line="240" w:lineRule="auto"/>
        <w:ind w:left="1440"/>
        <w:jc w:val="both"/>
        <w:rPr>
          <w:rFonts w:ascii="Arial" w:eastAsia="Times New Roman" w:hAnsi="Arial" w:cs="Arial"/>
        </w:rPr>
      </w:pPr>
      <w:r w:rsidRPr="00E039B2">
        <w:rPr>
          <w:rFonts w:ascii="Arial" w:eastAsia="Times New Roman" w:hAnsi="Arial" w:cs="Arial"/>
        </w:rPr>
        <w:t>Deposit and investment risks associated with the State Treasurer’s Investment Pool (which includes the State Treasurer’s STIF</w:t>
      </w:r>
      <w:r w:rsidRPr="00E039B2">
        <w:rPr>
          <w:rFonts w:ascii="Arial" w:eastAsia="Times New Roman" w:hAnsi="Arial" w:cs="Arial"/>
          <w:b/>
          <w:color w:val="0000FF"/>
        </w:rPr>
        <w:t xml:space="preserve"> </w:t>
      </w:r>
      <w:r w:rsidRPr="00E039B2">
        <w:rPr>
          <w:rFonts w:ascii="Arial" w:eastAsia="Times New Roman" w:hAnsi="Arial" w:cs="Arial"/>
        </w:rPr>
        <w:t xml:space="preserve">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w:t>
      </w:r>
      <w:hyperlink r:id="rId13" w:history="1">
        <w:r w:rsidRPr="00E039B2">
          <w:rPr>
            <w:rFonts w:ascii="Arial" w:eastAsia="Times New Roman" w:hAnsi="Arial" w:cs="Arial"/>
          </w:rPr>
          <w:t>https://www.nctreasurer.com/</w:t>
        </w:r>
      </w:hyperlink>
      <w:r w:rsidRPr="00E039B2">
        <w:rPr>
          <w:rFonts w:ascii="Arial" w:eastAsia="Times New Roman" w:hAnsi="Arial" w:cs="Arial"/>
        </w:rPr>
        <w:t xml:space="preserve"> in the Audited Financial Statements section.</w:t>
      </w:r>
    </w:p>
    <w:p w14:paraId="4501A16C" w14:textId="77777777" w:rsidR="005A4086" w:rsidRPr="00E039B2" w:rsidRDefault="005A4086" w:rsidP="005A4086">
      <w:pPr>
        <w:tabs>
          <w:tab w:val="left" w:pos="1080"/>
        </w:tabs>
        <w:spacing w:before="480" w:after="240" w:line="240" w:lineRule="auto"/>
        <w:rPr>
          <w:rFonts w:ascii="Arial" w:eastAsia="Times New Roman" w:hAnsi="Arial" w:cs="Arial"/>
          <w:b/>
          <w:smallCaps/>
        </w:rPr>
      </w:pPr>
      <w:r w:rsidRPr="00E039B2">
        <w:rPr>
          <w:rFonts w:ascii="Arial" w:eastAsia="Times New Roman" w:hAnsi="Arial" w:cs="Arial"/>
          <w:b/>
          <w:smallCaps/>
        </w:rPr>
        <w:t>Note 2</w:t>
      </w:r>
      <w:r w:rsidRPr="00E039B2">
        <w:rPr>
          <w:rFonts w:ascii="Arial" w:eastAsia="Times New Roman" w:hAnsi="Arial" w:cs="Arial"/>
          <w:b/>
          <w:smallCaps/>
        </w:rPr>
        <w:tab/>
        <w:t>-</w:t>
      </w:r>
      <w:r w:rsidRPr="00E039B2">
        <w:rPr>
          <w:rFonts w:ascii="Arial" w:eastAsia="Times New Roman" w:hAnsi="Arial" w:cs="Arial"/>
          <w:b/>
          <w:smallCaps/>
        </w:rPr>
        <w:tab/>
        <w:t xml:space="preserve">Deposits and Investments </w:t>
      </w:r>
      <w:r w:rsidRPr="00E039B2">
        <w:rPr>
          <w:rFonts w:ascii="Arial" w:eastAsia="Times New Roman" w:hAnsi="Arial" w:cs="Arial"/>
          <w:b/>
          <w:i/>
          <w:smallCaps/>
          <w:color w:val="0000FF"/>
        </w:rPr>
        <w:t>[For use by Departments with Investments]</w:t>
      </w:r>
    </w:p>
    <w:p w14:paraId="6A9A7A89" w14:textId="2C25A75E" w:rsidR="005A4086" w:rsidRPr="00E039B2" w:rsidRDefault="005A4086" w:rsidP="005A4086">
      <w:pPr>
        <w:tabs>
          <w:tab w:val="left" w:pos="1560"/>
        </w:tabs>
        <w:spacing w:after="240" w:line="240" w:lineRule="auto"/>
        <w:ind w:left="1440"/>
        <w:jc w:val="both"/>
        <w:rPr>
          <w:rFonts w:ascii="Arial" w:eastAsia="Times New Roman" w:hAnsi="Arial" w:cs="Arial"/>
        </w:rPr>
      </w:pPr>
      <w:r w:rsidRPr="00E039B2">
        <w:rPr>
          <w:rFonts w:ascii="Arial" w:eastAsia="Times New Roman" w:hAnsi="Arial" w:cs="Arial"/>
        </w:rPr>
        <w:t xml:space="preserve">Unless specifically exempt, </w:t>
      </w:r>
      <w:r w:rsidRPr="00E039B2">
        <w:rPr>
          <w:rFonts w:ascii="Arial" w:eastAsia="Times New Roman" w:hAnsi="Arial" w:cs="Arial"/>
          <w:highlight w:val="yellow"/>
        </w:rPr>
        <w:t>the Department is</w:t>
      </w:r>
      <w:r w:rsidRPr="00E039B2">
        <w:rPr>
          <w:rFonts w:ascii="Arial" w:eastAsia="Times New Roman" w:hAnsi="Arial" w:cs="Arial"/>
        </w:rPr>
        <w:t xml:space="preserve"> required by </w:t>
      </w:r>
      <w:r w:rsidRPr="00E039B2">
        <w:rPr>
          <w:rFonts w:ascii="Arial" w:eastAsia="Times New Roman" w:hAnsi="Arial" w:cs="Arial"/>
          <w:i/>
        </w:rPr>
        <w:t>North Carolina General Statute</w:t>
      </w:r>
      <w:r w:rsidRPr="00E039B2">
        <w:rPr>
          <w:rFonts w:ascii="Arial" w:eastAsia="Times New Roman" w:hAnsi="Arial" w:cs="Arial"/>
        </w:rPr>
        <w:t xml:space="preserve"> 147-77 to deposit moneys received with the State Treasurer or with a depository institution in the name of the State Treasurer. General Statute 147-69.1, authorizes the State Treasurer to invest all deposits in the following: obligations of or fully guaranteed by the United States; obligations of certain federal agencies; specified repurchase agreements; obligations of the State of North Carolina; time deposits with specified financial institutions; prime quality commercial paper with specified ratings; specified bills of exchange or time drafts; asset-backed securities with specified ratings; and corporate bonds and notes with specified ratings.</w:t>
      </w:r>
    </w:p>
    <w:p w14:paraId="435BC37E" w14:textId="0392D9AA" w:rsidR="005A4086" w:rsidRPr="00E039B2" w:rsidRDefault="005A4086" w:rsidP="005A4086">
      <w:pPr>
        <w:spacing w:after="240" w:line="240" w:lineRule="auto"/>
        <w:ind w:left="1440"/>
        <w:jc w:val="both"/>
        <w:rPr>
          <w:rFonts w:ascii="Arial" w:eastAsia="Times New Roman" w:hAnsi="Arial" w:cs="Arial"/>
        </w:rPr>
      </w:pPr>
      <w:r w:rsidRPr="00E039B2">
        <w:rPr>
          <w:rFonts w:ascii="Arial" w:eastAsia="Times New Roman" w:hAnsi="Arial" w:cs="Arial"/>
          <w:highlight w:val="yellow"/>
        </w:rPr>
        <w:t>The amount shown on the governmental funds’ Balance Sheet as</w:t>
      </w:r>
      <w:r w:rsidRPr="00E039B2">
        <w:rPr>
          <w:rFonts w:ascii="Arial" w:eastAsia="Times New Roman" w:hAnsi="Arial" w:cs="Arial"/>
        </w:rPr>
        <w:t xml:space="preserve"> </w:t>
      </w:r>
      <w:r w:rsidRPr="00E039B2">
        <w:rPr>
          <w:rFonts w:ascii="Arial" w:eastAsia="Times New Roman" w:hAnsi="Arial" w:cs="Arial"/>
          <w:highlight w:val="yellow"/>
        </w:rPr>
        <w:t>cash and cash equivalents included cash on hand totaling $_______ and deposits in private financial institutions with a carrying value</w:t>
      </w:r>
      <w:r w:rsidR="00B5613F">
        <w:rPr>
          <w:rFonts w:ascii="Arial" w:eastAsia="Times New Roman" w:hAnsi="Arial" w:cs="Arial"/>
          <w:highlight w:val="yellow"/>
        </w:rPr>
        <w:t xml:space="preserve"> of </w:t>
      </w:r>
      <w:r w:rsidR="00B5613F" w:rsidRPr="00E039B2">
        <w:rPr>
          <w:rFonts w:ascii="Arial" w:eastAsia="Times New Roman" w:hAnsi="Arial" w:cs="Arial"/>
          <w:highlight w:val="yellow"/>
        </w:rPr>
        <w:t>$_______</w:t>
      </w:r>
      <w:r w:rsidRPr="00E039B2">
        <w:rPr>
          <w:rFonts w:ascii="Arial" w:eastAsia="Times New Roman" w:hAnsi="Arial" w:cs="Arial"/>
          <w:highlight w:val="yellow"/>
        </w:rPr>
        <w:t xml:space="preserve"> and bank balance of $_______. As of June 30, 2020, $_______ of the Department’s bank balances was exposed to custodial credit risk as uninsured and uncollateralized. Custodial credit risk is the risk that in the event of a bank </w:t>
      </w:r>
      <w:r w:rsidRPr="00E039B2">
        <w:rPr>
          <w:rFonts w:ascii="Arial" w:eastAsia="Times New Roman" w:hAnsi="Arial" w:cs="Arial"/>
          <w:highlight w:val="yellow"/>
        </w:rPr>
        <w:lastRenderedPageBreak/>
        <w:t>failure, the Department’s deposits may not be returned to it. As of June 30, 2020, the Department’s bank balance in excess of federal depository insurance coverage was covered under the pooling method.</w:t>
      </w:r>
    </w:p>
    <w:p w14:paraId="32679DEE" w14:textId="77777777" w:rsidR="005A4086" w:rsidRPr="00E039B2" w:rsidRDefault="005A4086" w:rsidP="005A4086">
      <w:pPr>
        <w:tabs>
          <w:tab w:val="left" w:pos="1440"/>
        </w:tabs>
        <w:spacing w:after="240" w:line="240" w:lineRule="auto"/>
        <w:ind w:left="1440"/>
        <w:contextualSpacing/>
        <w:jc w:val="center"/>
        <w:rPr>
          <w:rFonts w:ascii="Times New Roman" w:eastAsia="Times New Roman" w:hAnsi="Times New Roman" w:cs="Times New Roman"/>
        </w:rPr>
      </w:pPr>
      <w:r w:rsidRPr="00E039B2">
        <w:rPr>
          <w:rFonts w:ascii="Arial" w:eastAsia="Times New Roman" w:hAnsi="Arial" w:cs="Arial"/>
          <w:b/>
          <w:i/>
          <w:color w:val="0000FF"/>
        </w:rPr>
        <w:t xml:space="preserve">[Use the following paragraph if </w:t>
      </w:r>
      <w:r w:rsidRPr="00E039B2">
        <w:rPr>
          <w:rFonts w:ascii="Arial" w:eastAsia="Times New Roman" w:hAnsi="Arial" w:cs="Arial"/>
          <w:b/>
          <w:i/>
          <w:color w:val="0000FF"/>
          <w:u w:val="single"/>
        </w:rPr>
        <w:t>only</w:t>
      </w:r>
      <w:r w:rsidRPr="00E039B2">
        <w:rPr>
          <w:rFonts w:ascii="Arial" w:eastAsia="Times New Roman" w:hAnsi="Arial" w:cs="Arial"/>
          <w:b/>
          <w:i/>
          <w:color w:val="0000FF"/>
        </w:rPr>
        <w:t xml:space="preserve"> governmental funds]</w:t>
      </w:r>
    </w:p>
    <w:p w14:paraId="4C226F2E" w14:textId="0010A508" w:rsidR="005A4086" w:rsidRPr="00E039B2" w:rsidRDefault="005A4086" w:rsidP="005A4086">
      <w:pPr>
        <w:tabs>
          <w:tab w:val="left" w:pos="1440"/>
        </w:tabs>
        <w:spacing w:after="240" w:line="240" w:lineRule="auto"/>
        <w:ind w:left="1440"/>
        <w:jc w:val="both"/>
        <w:rPr>
          <w:rFonts w:ascii="Arial" w:eastAsia="Times New Roman" w:hAnsi="Arial" w:cs="Arial"/>
        </w:rPr>
      </w:pPr>
      <w:r w:rsidRPr="00E039B2">
        <w:rPr>
          <w:rFonts w:ascii="Arial" w:eastAsia="Times New Roman" w:hAnsi="Arial" w:cs="Arial"/>
        </w:rPr>
        <w:t xml:space="preserve">At June 30, </w:t>
      </w:r>
      <w:r w:rsidRPr="00E039B2">
        <w:rPr>
          <w:rFonts w:ascii="Arial" w:eastAsia="Times New Roman" w:hAnsi="Arial" w:cs="Arial"/>
          <w:highlight w:val="yellow"/>
          <w:lang w:bidi="en-US"/>
        </w:rPr>
        <w:t>2020</w:t>
      </w:r>
      <w:r w:rsidRPr="00E039B2">
        <w:rPr>
          <w:rFonts w:ascii="Arial" w:eastAsia="Times New Roman" w:hAnsi="Arial" w:cs="Arial"/>
        </w:rPr>
        <w:t xml:space="preserve">, the Balance Sheet reported cash and cash equivalents of $_______, which represents the Department’s equity position in the State Treasurer’s Short-Term Investment Fund (STIF). The STIF (a portfolio within the State Treasurer’s Investment Pool, an external investment pool that is not registered with the Securities and Exchange Commission or subject to any formal oversight other than that of the legislative body) had a weighted average maturity of </w:t>
      </w:r>
      <w:r w:rsidR="0028168E" w:rsidRPr="00E039B2">
        <w:rPr>
          <w:rFonts w:ascii="Arial" w:eastAsia="Times New Roman" w:hAnsi="Arial" w:cs="Arial"/>
        </w:rPr>
        <w:t>1</w:t>
      </w:r>
      <w:r w:rsidRPr="00E039B2">
        <w:rPr>
          <w:rFonts w:ascii="Arial" w:eastAsia="Times New Roman" w:hAnsi="Arial" w:cs="Arial"/>
        </w:rPr>
        <w:t>.</w:t>
      </w:r>
      <w:r w:rsidR="0028168E" w:rsidRPr="00E039B2">
        <w:rPr>
          <w:rFonts w:ascii="Arial" w:eastAsia="Times New Roman" w:hAnsi="Arial" w:cs="Arial"/>
        </w:rPr>
        <w:t>3</w:t>
      </w:r>
      <w:r w:rsidRPr="00E039B2">
        <w:rPr>
          <w:rFonts w:ascii="Arial" w:eastAsia="Times New Roman" w:hAnsi="Arial" w:cs="Arial"/>
        </w:rPr>
        <w:t xml:space="preserve"> years as of June 30, </w:t>
      </w:r>
      <w:r w:rsidRPr="00E039B2">
        <w:rPr>
          <w:rFonts w:ascii="Arial" w:eastAsia="Times New Roman" w:hAnsi="Arial" w:cs="Arial"/>
          <w:highlight w:val="yellow"/>
          <w:lang w:bidi="en-US"/>
        </w:rPr>
        <w:t>2020</w:t>
      </w:r>
      <w:r w:rsidRPr="00E039B2">
        <w:rPr>
          <w:rFonts w:ascii="Arial" w:eastAsia="Times New Roman" w:hAnsi="Arial" w:cs="Arial"/>
        </w:rPr>
        <w:t xml:space="preserve">. Assets and shares of the STIF are valued at fair value. </w:t>
      </w:r>
    </w:p>
    <w:p w14:paraId="601008A2" w14:textId="77777777" w:rsidR="005A4086" w:rsidRPr="00E039B2" w:rsidRDefault="005A4086" w:rsidP="005A4086">
      <w:pPr>
        <w:tabs>
          <w:tab w:val="left" w:pos="1440"/>
        </w:tabs>
        <w:spacing w:after="240" w:line="240" w:lineRule="auto"/>
        <w:ind w:left="1440"/>
        <w:contextualSpacing/>
        <w:jc w:val="center"/>
        <w:rPr>
          <w:rFonts w:ascii="Arial" w:eastAsia="Times New Roman" w:hAnsi="Arial" w:cs="Arial"/>
          <w:b/>
          <w:i/>
          <w:color w:val="0000FF"/>
        </w:rPr>
      </w:pPr>
      <w:r w:rsidRPr="00E039B2">
        <w:rPr>
          <w:rFonts w:ascii="Arial" w:eastAsia="Times New Roman" w:hAnsi="Arial" w:cs="Arial"/>
          <w:b/>
          <w:i/>
          <w:color w:val="0000FF"/>
        </w:rPr>
        <w:t>OR</w:t>
      </w:r>
    </w:p>
    <w:p w14:paraId="62280F48" w14:textId="77777777" w:rsidR="005A4086" w:rsidRPr="00E039B2" w:rsidRDefault="005A4086" w:rsidP="005A4086">
      <w:pPr>
        <w:tabs>
          <w:tab w:val="left" w:pos="1440"/>
        </w:tabs>
        <w:spacing w:after="240" w:line="240" w:lineRule="auto"/>
        <w:ind w:left="1440"/>
        <w:contextualSpacing/>
        <w:jc w:val="both"/>
        <w:rPr>
          <w:rFonts w:ascii="Arial" w:eastAsia="Times New Roman" w:hAnsi="Arial" w:cs="Arial"/>
          <w:b/>
          <w:i/>
          <w:color w:val="0000FF"/>
        </w:rPr>
      </w:pPr>
    </w:p>
    <w:p w14:paraId="35DF3498" w14:textId="77777777" w:rsidR="005A4086" w:rsidRPr="00E039B2" w:rsidRDefault="005A4086" w:rsidP="005A4086">
      <w:pPr>
        <w:tabs>
          <w:tab w:val="left" w:pos="1440"/>
        </w:tabs>
        <w:spacing w:after="240" w:line="240" w:lineRule="auto"/>
        <w:ind w:left="1440"/>
        <w:contextualSpacing/>
        <w:jc w:val="both"/>
        <w:rPr>
          <w:rFonts w:ascii="Arial" w:eastAsia="Times New Roman" w:hAnsi="Arial" w:cs="Arial"/>
          <w:b/>
          <w:i/>
          <w:color w:val="0000FF"/>
        </w:rPr>
      </w:pPr>
      <w:r w:rsidRPr="00E039B2">
        <w:rPr>
          <w:rFonts w:ascii="Arial" w:eastAsia="Times New Roman" w:hAnsi="Arial" w:cs="Arial"/>
          <w:b/>
          <w:i/>
          <w:color w:val="0000FF"/>
        </w:rPr>
        <w:t xml:space="preserve">[Use the following paragraph if </w:t>
      </w:r>
      <w:r w:rsidRPr="00E039B2">
        <w:rPr>
          <w:rFonts w:ascii="Arial" w:eastAsia="Times New Roman" w:hAnsi="Arial" w:cs="Arial"/>
          <w:b/>
          <w:i/>
          <w:color w:val="0000FF"/>
          <w:u w:val="single"/>
        </w:rPr>
        <w:t>BOTH</w:t>
      </w:r>
      <w:r w:rsidRPr="00E039B2">
        <w:rPr>
          <w:rFonts w:ascii="Arial" w:eastAsia="Times New Roman" w:hAnsi="Arial" w:cs="Arial"/>
          <w:b/>
          <w:i/>
          <w:color w:val="0000FF"/>
        </w:rPr>
        <w:t xml:space="preserve"> governmental and proprietary funds]</w:t>
      </w:r>
    </w:p>
    <w:p w14:paraId="4EF17339" w14:textId="77777777" w:rsidR="005A4086" w:rsidRPr="00E039B2" w:rsidRDefault="005A4086" w:rsidP="005A4086">
      <w:pPr>
        <w:tabs>
          <w:tab w:val="left" w:pos="1440"/>
        </w:tabs>
        <w:spacing w:after="240" w:line="240" w:lineRule="auto"/>
        <w:ind w:left="1440"/>
        <w:contextualSpacing/>
        <w:jc w:val="both"/>
        <w:rPr>
          <w:rFonts w:ascii="Arial" w:eastAsia="Times New Roman" w:hAnsi="Arial" w:cs="Arial"/>
          <w:b/>
          <w:i/>
          <w:color w:val="0000FF"/>
        </w:rPr>
      </w:pPr>
    </w:p>
    <w:p w14:paraId="1FDE40E7" w14:textId="48636082" w:rsidR="005A4086" w:rsidRPr="00E039B2" w:rsidRDefault="005A4086" w:rsidP="005A4086">
      <w:pPr>
        <w:tabs>
          <w:tab w:val="left" w:pos="1440"/>
        </w:tabs>
        <w:spacing w:after="240" w:line="240" w:lineRule="auto"/>
        <w:ind w:left="1440"/>
        <w:jc w:val="both"/>
        <w:rPr>
          <w:rFonts w:ascii="Arial" w:eastAsia="Times New Roman" w:hAnsi="Arial" w:cs="Arial"/>
        </w:rPr>
      </w:pPr>
      <w:r w:rsidRPr="00E039B2">
        <w:rPr>
          <w:rFonts w:ascii="Arial" w:eastAsia="Times New Roman" w:hAnsi="Arial" w:cs="Arial"/>
        </w:rPr>
        <w:t xml:space="preserve">At June 30, </w:t>
      </w:r>
      <w:r w:rsidRPr="00E039B2">
        <w:rPr>
          <w:rFonts w:ascii="Arial" w:eastAsia="Times New Roman" w:hAnsi="Arial" w:cs="Arial"/>
          <w:highlight w:val="yellow"/>
          <w:lang w:bidi="en-US"/>
        </w:rPr>
        <w:t>2020</w:t>
      </w:r>
      <w:r w:rsidRPr="00E039B2">
        <w:rPr>
          <w:rFonts w:ascii="Arial" w:eastAsia="Times New Roman" w:hAnsi="Arial" w:cs="Arial"/>
        </w:rPr>
        <w:t xml:space="preserve">, the governmental funds’ Balance Sheet reported cash and cash equivalents of $_______. The proprietary funds’ Statement of Net Position reported cash and cash equivalents of $_______ for the same date. These amounts represent the Department’s equity position in the State Treasurer’s Short-Term Investment Fund (STIF). The STIF (a portfolio within the State Treasurer’s Investment Pool, an external investment pool that is not registered with the Securities and Exchange Commission or subject to any formal oversight other than that of the legislative body) had a weighted average maturity of 1.3 years as of June 30, </w:t>
      </w:r>
      <w:r w:rsidRPr="00E039B2">
        <w:rPr>
          <w:rFonts w:ascii="Arial" w:eastAsia="Times New Roman" w:hAnsi="Arial" w:cs="Arial"/>
          <w:highlight w:val="yellow"/>
          <w:lang w:bidi="en-US"/>
        </w:rPr>
        <w:t>2020</w:t>
      </w:r>
      <w:r w:rsidRPr="00E039B2">
        <w:rPr>
          <w:rFonts w:ascii="Arial" w:eastAsia="Times New Roman" w:hAnsi="Arial" w:cs="Arial"/>
        </w:rPr>
        <w:t>. Assets and shares of the STIF are valued at fair value.</w:t>
      </w:r>
    </w:p>
    <w:p w14:paraId="2C6CA6AD" w14:textId="06D9982C" w:rsidR="005A4086" w:rsidRPr="00E039B2" w:rsidRDefault="005A4086" w:rsidP="005A4086">
      <w:pPr>
        <w:tabs>
          <w:tab w:val="left" w:pos="1440"/>
        </w:tabs>
        <w:spacing w:after="240" w:line="240" w:lineRule="auto"/>
        <w:ind w:left="1440"/>
        <w:jc w:val="both"/>
        <w:rPr>
          <w:rFonts w:ascii="Arial" w:eastAsia="Times New Roman" w:hAnsi="Arial" w:cs="Arial"/>
        </w:rPr>
      </w:pPr>
      <w:r w:rsidRPr="00E039B2">
        <w:rPr>
          <w:rFonts w:ascii="Arial" w:eastAsia="Times New Roman" w:hAnsi="Arial" w:cs="Arial"/>
        </w:rPr>
        <w:t xml:space="preserve">At June 30, </w:t>
      </w:r>
      <w:r w:rsidRPr="00E039B2">
        <w:rPr>
          <w:rFonts w:ascii="Arial" w:eastAsia="Times New Roman" w:hAnsi="Arial" w:cs="Arial"/>
          <w:highlight w:val="yellow"/>
          <w:lang w:bidi="en-US"/>
        </w:rPr>
        <w:t>2020</w:t>
      </w:r>
      <w:r w:rsidRPr="00E039B2">
        <w:rPr>
          <w:rFonts w:ascii="Arial" w:eastAsia="Times New Roman" w:hAnsi="Arial" w:cs="Arial"/>
        </w:rPr>
        <w:t xml:space="preserve">, the proprietary funds’ Statement of Net Position reported pooled investments of $_______ which represents the Department’s equity position in the State Treasurer’s Bond Index External Investment Fund (BIF). The BIF (a portfolio within the State Treasurer’s Investment Pool, an external investment pool that is not registered with the Securities and Exchange Commission or subject to any formal oversight other than that of the legislative body) had a weighted average maturity of </w:t>
      </w:r>
      <w:r w:rsidR="006D2011" w:rsidRPr="00E039B2">
        <w:rPr>
          <w:rFonts w:ascii="Arial" w:eastAsia="Times New Roman" w:hAnsi="Arial" w:cs="Arial"/>
          <w:highlight w:val="yellow"/>
        </w:rPr>
        <w:t>7</w:t>
      </w:r>
      <w:r w:rsidRPr="00E039B2">
        <w:rPr>
          <w:rFonts w:ascii="Arial" w:eastAsia="Times New Roman" w:hAnsi="Arial" w:cs="Arial"/>
          <w:highlight w:val="yellow"/>
        </w:rPr>
        <w:t>.</w:t>
      </w:r>
      <w:r w:rsidR="006D2011" w:rsidRPr="00E039B2">
        <w:rPr>
          <w:rFonts w:ascii="Arial" w:eastAsia="Times New Roman" w:hAnsi="Arial" w:cs="Arial"/>
          <w:highlight w:val="yellow"/>
        </w:rPr>
        <w:t>97</w:t>
      </w:r>
      <w:r w:rsidRPr="00E039B2">
        <w:rPr>
          <w:rFonts w:ascii="Arial" w:eastAsia="Times New Roman" w:hAnsi="Arial" w:cs="Arial"/>
        </w:rPr>
        <w:t xml:space="preserve"> years as of June 30, </w:t>
      </w:r>
      <w:r w:rsidRPr="00E039B2">
        <w:rPr>
          <w:rFonts w:ascii="Arial" w:eastAsia="Times New Roman" w:hAnsi="Arial" w:cs="Arial"/>
          <w:highlight w:val="yellow"/>
          <w:lang w:bidi="en-US"/>
        </w:rPr>
        <w:t>2020</w:t>
      </w:r>
      <w:r w:rsidRPr="00E039B2">
        <w:rPr>
          <w:rFonts w:ascii="Arial" w:eastAsia="Times New Roman" w:hAnsi="Arial" w:cs="Arial"/>
        </w:rPr>
        <w:t xml:space="preserve">. Assets and shares of the BIF are valued at fair value. </w:t>
      </w:r>
      <w:r w:rsidRPr="00E039B2">
        <w:rPr>
          <w:rFonts w:ascii="Arial" w:eastAsia="Times New Roman" w:hAnsi="Arial" w:cs="Arial"/>
          <w:b/>
          <w:i/>
          <w:color w:val="0000FF"/>
        </w:rPr>
        <w:t>[Remove this paragraph and reference to BIF below if not applicable]</w:t>
      </w:r>
    </w:p>
    <w:p w14:paraId="1ECF1A87" w14:textId="0A397F9E" w:rsidR="00D46EDA" w:rsidRPr="00E039B2" w:rsidRDefault="005A4086" w:rsidP="00D46EDA">
      <w:pPr>
        <w:tabs>
          <w:tab w:val="left" w:pos="1440"/>
        </w:tabs>
        <w:spacing w:after="240" w:line="240" w:lineRule="auto"/>
        <w:ind w:left="1440"/>
        <w:jc w:val="both"/>
        <w:rPr>
          <w:rFonts w:ascii="Arial" w:eastAsia="Times New Roman" w:hAnsi="Arial" w:cs="Arial"/>
        </w:rPr>
      </w:pPr>
      <w:r w:rsidRPr="00E039B2">
        <w:rPr>
          <w:rFonts w:ascii="Arial" w:eastAsia="Times New Roman" w:hAnsi="Arial" w:cs="Arial"/>
        </w:rPr>
        <w:t xml:space="preserve">Deposit and investment risks associated with the State Treasurer’s Investment Pool (which includes the State Treasurer’s STIF </w:t>
      </w:r>
      <w:r w:rsidRPr="00E039B2">
        <w:rPr>
          <w:rFonts w:ascii="Arial" w:eastAsia="Times New Roman" w:hAnsi="Arial" w:cs="Arial"/>
          <w:b/>
          <w:color w:val="0000FF"/>
        </w:rPr>
        <w:t>[and BIF]</w:t>
      </w:r>
      <w:r w:rsidRPr="00E039B2">
        <w:rPr>
          <w:rFonts w:ascii="Arial" w:eastAsia="Times New Roman" w:hAnsi="Arial" w:cs="Arial"/>
        </w:rPr>
        <w:t>)</w:t>
      </w:r>
      <w:r w:rsidRPr="00E039B2">
        <w:rPr>
          <w:rFonts w:ascii="Arial" w:eastAsia="Times New Roman" w:hAnsi="Arial" w:cs="Arial"/>
          <w:b/>
          <w:color w:val="0000FF"/>
        </w:rPr>
        <w:t xml:space="preserve"> </w:t>
      </w:r>
      <w:r w:rsidRPr="00E039B2">
        <w:rPr>
          <w:rFonts w:ascii="Arial" w:eastAsia="Times New Roman" w:hAnsi="Arial" w:cs="Arial"/>
        </w:rPr>
        <w:t xml:space="preserve">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w:t>
      </w:r>
      <w:hyperlink r:id="rId14" w:history="1">
        <w:r w:rsidRPr="00E039B2">
          <w:rPr>
            <w:rFonts w:ascii="Arial" w:eastAsia="Times New Roman" w:hAnsi="Arial" w:cs="Arial"/>
          </w:rPr>
          <w:t>https://www.nctreasurer.com/</w:t>
        </w:r>
      </w:hyperlink>
      <w:r w:rsidRPr="00E039B2">
        <w:rPr>
          <w:rFonts w:ascii="Arial" w:eastAsia="Times New Roman" w:hAnsi="Arial" w:cs="Arial"/>
        </w:rPr>
        <w:t xml:space="preserve"> in the Audited Financial Statements section.</w:t>
      </w:r>
    </w:p>
    <w:p w14:paraId="6CEE172F" w14:textId="77777777" w:rsidR="005A4086" w:rsidRPr="00E039B2" w:rsidRDefault="005A4086" w:rsidP="005A4086">
      <w:pPr>
        <w:tabs>
          <w:tab w:val="left" w:pos="1080"/>
        </w:tabs>
        <w:spacing w:before="480" w:after="240" w:line="240" w:lineRule="auto"/>
        <w:rPr>
          <w:rFonts w:ascii="Arial" w:eastAsia="Times New Roman" w:hAnsi="Arial" w:cs="Arial"/>
          <w:b/>
          <w:bCs/>
          <w:i/>
          <w:iCs/>
          <w:color w:val="0000FF"/>
        </w:rPr>
      </w:pPr>
      <w:r w:rsidRPr="00E039B2">
        <w:rPr>
          <w:rFonts w:ascii="Arial" w:eastAsia="Times New Roman" w:hAnsi="Arial" w:cs="Arial"/>
          <w:b/>
          <w:bCs/>
          <w:smallCaps/>
        </w:rPr>
        <w:t>Note 3</w:t>
      </w:r>
      <w:r w:rsidRPr="00E039B2">
        <w:rPr>
          <w:rFonts w:ascii="Arial" w:eastAsia="Times New Roman" w:hAnsi="Arial" w:cs="Arial"/>
          <w:b/>
          <w:bCs/>
          <w:smallCaps/>
        </w:rPr>
        <w:tab/>
        <w:t>-</w:t>
      </w:r>
      <w:r w:rsidRPr="00E039B2">
        <w:rPr>
          <w:rFonts w:ascii="Arial" w:eastAsia="Times New Roman" w:hAnsi="Arial" w:cs="Arial"/>
          <w:b/>
          <w:bCs/>
          <w:smallCaps/>
        </w:rPr>
        <w:tab/>
        <w:t xml:space="preserve">Fair Value Measurements </w:t>
      </w:r>
    </w:p>
    <w:p w14:paraId="04FC63CF" w14:textId="042170B9" w:rsidR="005A4086" w:rsidRPr="00E039B2" w:rsidRDefault="005A4086" w:rsidP="005A4086">
      <w:pPr>
        <w:tabs>
          <w:tab w:val="left" w:pos="1080"/>
        </w:tabs>
        <w:spacing w:after="240" w:line="240" w:lineRule="auto"/>
        <w:ind w:left="1440"/>
        <w:jc w:val="both"/>
        <w:rPr>
          <w:rFonts w:ascii="Arial" w:eastAsia="Times New Roman" w:hAnsi="Arial" w:cs="Arial"/>
          <w:b/>
          <w:smallCaps/>
        </w:rPr>
      </w:pPr>
      <w:r w:rsidRPr="00E039B2">
        <w:rPr>
          <w:rFonts w:ascii="Arial" w:eastAsia="Calibri" w:hAnsi="Arial" w:cs="Arial"/>
        </w:rPr>
        <w:lastRenderedPageBreak/>
        <w:t>To the extent available, the Department’s investments</w:t>
      </w:r>
      <w:r w:rsidRPr="00E039B2">
        <w:rPr>
          <w:rFonts w:ascii="Arial" w:eastAsia="Calibri" w:hAnsi="Arial" w:cs="Arial"/>
          <w:color w:val="0000FF"/>
        </w:rPr>
        <w:t xml:space="preserve"> </w:t>
      </w:r>
      <w:r w:rsidRPr="00E039B2">
        <w:rPr>
          <w:rFonts w:ascii="Arial" w:eastAsia="Calibri" w:hAnsi="Arial" w:cs="Arial"/>
        </w:rPr>
        <w:t xml:space="preserve">are recorded at fair value as of June 30, </w:t>
      </w:r>
      <w:r w:rsidRPr="00E039B2">
        <w:rPr>
          <w:rFonts w:ascii="Arial" w:eastAsia="Calibri" w:hAnsi="Arial" w:cs="Arial"/>
          <w:highlight w:val="yellow"/>
        </w:rPr>
        <w:t>2020</w:t>
      </w:r>
      <w:r w:rsidRPr="00E039B2">
        <w:rPr>
          <w:rFonts w:ascii="Arial" w:eastAsia="Calibri" w:hAnsi="Arial" w:cs="Arial"/>
        </w:rPr>
        <w:t xml:space="preserve">. GASB Statement No. 72, </w:t>
      </w:r>
      <w:r w:rsidRPr="00E039B2">
        <w:rPr>
          <w:rFonts w:ascii="Arial" w:eastAsia="Calibri" w:hAnsi="Arial" w:cs="Arial"/>
          <w:i/>
        </w:rPr>
        <w:t>Fair Value Measurement and Application</w:t>
      </w:r>
      <w:r w:rsidRPr="00E039B2">
        <w:rPr>
          <w:rFonts w:ascii="Arial" w:eastAsia="Calibri" w:hAnsi="Arial" w:cs="Arial"/>
        </w:rPr>
        <w:t xml:space="preserve">, defines fair value as 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w:t>
      </w:r>
      <w:proofErr w:type="gramStart"/>
      <w:r w:rsidRPr="00E039B2">
        <w:rPr>
          <w:rFonts w:ascii="Arial" w:eastAsia="Calibri" w:hAnsi="Arial" w:cs="Arial"/>
        </w:rPr>
        <w:t>take into account</w:t>
      </w:r>
      <w:proofErr w:type="gramEnd"/>
      <w:r w:rsidRPr="00E039B2">
        <w:rPr>
          <w:rFonts w:ascii="Arial" w:eastAsia="Calibri" w:hAnsi="Arial" w:cs="Arial"/>
        </w:rPr>
        <w:t xml:space="preserve">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618DA7E1" w14:textId="77777777" w:rsidR="005A4086" w:rsidRPr="00E039B2" w:rsidRDefault="005A4086" w:rsidP="005A4086">
      <w:pPr>
        <w:spacing w:after="240" w:line="240" w:lineRule="auto"/>
        <w:ind w:left="1440"/>
        <w:jc w:val="both"/>
        <w:rPr>
          <w:rFonts w:ascii="Arial" w:eastAsia="Times New Roman" w:hAnsi="Arial" w:cs="Arial"/>
        </w:rPr>
      </w:pPr>
      <w:r w:rsidRPr="00E039B2">
        <w:rPr>
          <w:rFonts w:ascii="Arial" w:eastAsia="Times New Roman" w:hAnsi="Arial"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126E5EF9" w14:textId="77777777" w:rsidR="005A4086" w:rsidRPr="00E039B2" w:rsidRDefault="005A4086" w:rsidP="005A4086">
      <w:pPr>
        <w:spacing w:after="240" w:line="240" w:lineRule="auto"/>
        <w:ind w:left="3456" w:hanging="1440"/>
        <w:jc w:val="both"/>
        <w:rPr>
          <w:rFonts w:ascii="Arial" w:eastAsia="Times New Roman" w:hAnsi="Arial" w:cs="Arial"/>
        </w:rPr>
      </w:pPr>
      <w:r w:rsidRPr="00E039B2">
        <w:rPr>
          <w:rFonts w:ascii="Arial" w:eastAsia="Times New Roman" w:hAnsi="Arial" w:cs="Arial"/>
        </w:rPr>
        <w:t>Level 1</w:t>
      </w:r>
      <w:r w:rsidRPr="00E039B2">
        <w:rPr>
          <w:rFonts w:ascii="Arial" w:eastAsia="Times New Roman" w:hAnsi="Arial" w:cs="Arial"/>
        </w:rPr>
        <w:tab/>
        <w:t xml:space="preserve">Investments whose values are based on quoted prices (unadjusted) for identical assets </w:t>
      </w:r>
      <w:r w:rsidRPr="00E039B2">
        <w:rPr>
          <w:rFonts w:ascii="Arial" w:eastAsia="Times New Roman" w:hAnsi="Arial" w:cs="Arial"/>
          <w:b/>
          <w:color w:val="0000FF"/>
        </w:rPr>
        <w:t>(or</w:t>
      </w:r>
      <w:r w:rsidRPr="00E039B2">
        <w:rPr>
          <w:rFonts w:ascii="Arial" w:eastAsia="Times New Roman" w:hAnsi="Arial" w:cs="Arial"/>
          <w:b/>
        </w:rPr>
        <w:t xml:space="preserve"> </w:t>
      </w:r>
      <w:r w:rsidRPr="00E039B2">
        <w:rPr>
          <w:rFonts w:ascii="Arial" w:eastAsia="Times New Roman" w:hAnsi="Arial" w:cs="Arial"/>
          <w:b/>
          <w:color w:val="0000FF"/>
        </w:rPr>
        <w:t>liabilities)</w:t>
      </w:r>
      <w:r w:rsidRPr="00E039B2">
        <w:rPr>
          <w:rFonts w:ascii="Arial" w:eastAsia="Times New Roman" w:hAnsi="Arial" w:cs="Arial"/>
        </w:rPr>
        <w:t xml:space="preserve"> in active markets that a government can access at the measurement date. </w:t>
      </w:r>
    </w:p>
    <w:p w14:paraId="2F3E3014" w14:textId="77777777" w:rsidR="005A4086" w:rsidRPr="00E039B2" w:rsidRDefault="005A4086" w:rsidP="005A4086">
      <w:pPr>
        <w:spacing w:after="240" w:line="240" w:lineRule="auto"/>
        <w:ind w:left="3456" w:hanging="1440"/>
        <w:jc w:val="both"/>
        <w:rPr>
          <w:rFonts w:ascii="Arial" w:eastAsia="Times New Roman" w:hAnsi="Arial" w:cs="Arial"/>
        </w:rPr>
      </w:pPr>
      <w:r w:rsidRPr="00E039B2">
        <w:rPr>
          <w:rFonts w:ascii="Arial" w:eastAsia="Times New Roman" w:hAnsi="Arial" w:cs="Arial"/>
        </w:rPr>
        <w:t>Level 2</w:t>
      </w:r>
      <w:r w:rsidRPr="00E039B2">
        <w:rPr>
          <w:rFonts w:ascii="Arial" w:eastAsia="Times New Roman" w:hAnsi="Arial" w:cs="Arial"/>
        </w:rPr>
        <w:tab/>
        <w:t xml:space="preserve">Investments with inputs – other than quoted prices included within Level 1 – that are observable for an asset </w:t>
      </w:r>
      <w:r w:rsidRPr="00E039B2">
        <w:rPr>
          <w:rFonts w:ascii="Arial" w:eastAsia="Times New Roman" w:hAnsi="Arial" w:cs="Arial"/>
          <w:b/>
          <w:color w:val="0000FF"/>
        </w:rPr>
        <w:t>(or liability)</w:t>
      </w:r>
      <w:r w:rsidRPr="00E039B2">
        <w:rPr>
          <w:rFonts w:ascii="Arial" w:eastAsia="Times New Roman" w:hAnsi="Arial" w:cs="Arial"/>
        </w:rPr>
        <w:t>, either directly or indirectly.</w:t>
      </w:r>
    </w:p>
    <w:p w14:paraId="7FC73CE3" w14:textId="77777777" w:rsidR="005A4086" w:rsidRPr="00E039B2" w:rsidRDefault="005A4086" w:rsidP="005A4086">
      <w:pPr>
        <w:spacing w:after="240" w:line="240" w:lineRule="auto"/>
        <w:ind w:left="3456" w:hanging="1440"/>
        <w:jc w:val="both"/>
        <w:rPr>
          <w:rFonts w:ascii="Arial" w:eastAsia="Times New Roman" w:hAnsi="Arial" w:cs="Arial"/>
        </w:rPr>
      </w:pPr>
      <w:r w:rsidRPr="00E039B2">
        <w:rPr>
          <w:rFonts w:ascii="Arial" w:eastAsia="Times New Roman" w:hAnsi="Arial" w:cs="Arial"/>
        </w:rPr>
        <w:t>Level 3</w:t>
      </w:r>
      <w:r w:rsidRPr="00E039B2">
        <w:rPr>
          <w:rFonts w:ascii="Arial" w:eastAsia="Times New Roman" w:hAnsi="Arial" w:cs="Arial"/>
        </w:rPr>
        <w:tab/>
        <w:t xml:space="preserve">Investments classified as Level 3 have unobservable inputs for an asset </w:t>
      </w:r>
      <w:r w:rsidRPr="00E039B2">
        <w:rPr>
          <w:rFonts w:ascii="Arial" w:eastAsia="Times New Roman" w:hAnsi="Arial" w:cs="Arial"/>
          <w:b/>
          <w:color w:val="0000FF"/>
        </w:rPr>
        <w:t xml:space="preserve">(or liability) </w:t>
      </w:r>
      <w:r w:rsidRPr="00E039B2">
        <w:rPr>
          <w:rFonts w:ascii="Arial" w:eastAsia="Times New Roman" w:hAnsi="Arial" w:cs="Arial"/>
        </w:rPr>
        <w:t>and may require a degree of professional judgment.</w:t>
      </w:r>
    </w:p>
    <w:p w14:paraId="1977D790" w14:textId="77777777" w:rsidR="005A4086" w:rsidRPr="00E039B2" w:rsidRDefault="005A4086" w:rsidP="005A4086">
      <w:pPr>
        <w:tabs>
          <w:tab w:val="left" w:pos="1530"/>
        </w:tabs>
        <w:spacing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t>[Note to Preparer: Remove reference to liabilities above if the Department has no liabilities that are measured at fair value]</w:t>
      </w:r>
    </w:p>
    <w:p w14:paraId="259575F9" w14:textId="28B0CC0E" w:rsidR="005A4086" w:rsidRPr="00E039B2" w:rsidRDefault="005A4086" w:rsidP="005A4086">
      <w:pPr>
        <w:spacing w:line="240" w:lineRule="auto"/>
        <w:ind w:left="1440"/>
        <w:jc w:val="both"/>
        <w:rPr>
          <w:rFonts w:ascii="Arial" w:eastAsia="Calibri" w:hAnsi="Arial" w:cs="Arial"/>
        </w:rPr>
      </w:pPr>
      <w:r w:rsidRPr="00E039B2">
        <w:rPr>
          <w:rFonts w:ascii="Arial" w:eastAsia="Calibri" w:hAnsi="Arial" w:cs="Arial"/>
        </w:rPr>
        <w:t xml:space="preserve">At June 30, </w:t>
      </w:r>
      <w:r w:rsidRPr="00E039B2">
        <w:rPr>
          <w:rFonts w:ascii="Arial" w:eastAsia="Calibri" w:hAnsi="Arial" w:cs="Arial"/>
          <w:highlight w:val="yellow"/>
        </w:rPr>
        <w:t>2020</w:t>
      </w:r>
      <w:r w:rsidRPr="00E039B2">
        <w:rPr>
          <w:rFonts w:ascii="Arial" w:eastAsia="Calibri" w:hAnsi="Arial" w:cs="Arial"/>
        </w:rPr>
        <w:t>, the Department has the following investments:</w:t>
      </w:r>
      <w:r w:rsidRPr="00E039B2">
        <w:rPr>
          <w:rFonts w:ascii="Arial" w:eastAsia="Calibri" w:hAnsi="Arial" w:cs="Arial"/>
          <w:b/>
          <w:i/>
          <w:color w:val="0000FF"/>
        </w:rPr>
        <w:t xml:space="preserve"> [Remove if only STIF]</w:t>
      </w:r>
    </w:p>
    <w:p w14:paraId="71DB8FF2" w14:textId="77777777" w:rsidR="005A4086" w:rsidRPr="00E039B2" w:rsidRDefault="005A4086" w:rsidP="005A4086">
      <w:pPr>
        <w:spacing w:line="240" w:lineRule="auto"/>
        <w:ind w:left="1440"/>
        <w:jc w:val="both"/>
        <w:rPr>
          <w:rFonts w:ascii="Arial" w:eastAsia="Calibri" w:hAnsi="Arial" w:cs="Arial"/>
          <w:b/>
        </w:rPr>
      </w:pPr>
      <w:r w:rsidRPr="00E039B2">
        <w:rPr>
          <w:rFonts w:ascii="Arial" w:eastAsia="Calibri" w:hAnsi="Arial" w:cs="Arial"/>
          <w:b/>
        </w:rPr>
        <w:t>Short-Term Investment Fund</w:t>
      </w:r>
      <w:r w:rsidRPr="00E039B2">
        <w:rPr>
          <w:rFonts w:ascii="Arial" w:eastAsia="Times New Roman" w:hAnsi="Arial" w:cs="Arial"/>
          <w:b/>
        </w:rPr>
        <w:t xml:space="preserve">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Calibri" w:hAnsi="Arial" w:cs="Arial"/>
        </w:rPr>
        <w:t xml:space="preserve">At year-end, the Department’s cash and cash equivalents, valued at $_________, were held in the STIF. Ownership interests of the STIF are determined on a fair market valuation basis as of fiscal year end in accordance with the STIF operating procedures.  Valuation of the underlying assets is performed by the custodian. Pool investments are measured at fair value in accordance with GASB 72. The Department’s position in the pool is measured and reported at fair value and the STIF is not required to be categorized within the fair value hierarchy. </w:t>
      </w:r>
      <w:r w:rsidRPr="00E039B2">
        <w:rPr>
          <w:rFonts w:ascii="Arial" w:eastAsia="Calibri" w:hAnsi="Arial" w:cs="Arial"/>
          <w:b/>
        </w:rPr>
        <w:t xml:space="preserve"> </w:t>
      </w:r>
    </w:p>
    <w:p w14:paraId="7E459C68" w14:textId="26081502" w:rsidR="001F2102" w:rsidRPr="00E039B2" w:rsidRDefault="005A4086" w:rsidP="005A4086">
      <w:pPr>
        <w:spacing w:after="240" w:line="240" w:lineRule="auto"/>
        <w:ind w:left="1440"/>
        <w:jc w:val="both"/>
        <w:rPr>
          <w:rFonts w:ascii="Arial" w:eastAsia="Calibri" w:hAnsi="Arial" w:cs="Arial"/>
        </w:rPr>
      </w:pPr>
      <w:r w:rsidRPr="00E039B2">
        <w:rPr>
          <w:rFonts w:ascii="Arial Bold" w:eastAsia="Calibri" w:hAnsi="Arial Bold" w:cs="Arial"/>
          <w:b/>
        </w:rPr>
        <w:t>Bond Index External Investment Fund</w:t>
      </w:r>
      <w:r w:rsidRPr="00E039B2">
        <w:rPr>
          <w:rFonts w:ascii="Arial" w:eastAsia="Times New Roman" w:hAnsi="Arial" w:cs="Arial"/>
          <w:b/>
        </w:rPr>
        <w:t xml:space="preserve">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Calibri" w:hAnsi="Arial" w:cs="Arial"/>
        </w:rPr>
        <w:t xml:space="preserve">At year end, the Department’s investments, valued at $_______, were held in the BIF. Ownership interest of </w:t>
      </w:r>
      <w:r w:rsidRPr="00E039B2">
        <w:rPr>
          <w:rFonts w:ascii="Arial" w:eastAsia="Calibri" w:hAnsi="Arial" w:cs="Arial"/>
        </w:rPr>
        <w:lastRenderedPageBreak/>
        <w:t xml:space="preserve">the BIF are determined monthly at fair market value based upon units of participation. Units of participation are calculated monthly based upon inflows and outflows as well as allocations of net earnings. Valuation of the underlying assets is performed by the custodian. The Department’s position in the pool is measured and reported at fair value and the BIF is not required to be categorized within the fair value hierarchy. </w:t>
      </w:r>
      <w:r w:rsidRPr="00E039B2">
        <w:rPr>
          <w:rFonts w:ascii="Arial" w:eastAsia="Times New Roman" w:hAnsi="Arial" w:cs="Arial"/>
          <w:b/>
          <w:bCs/>
          <w:i/>
          <w:iCs/>
          <w:color w:val="0000FF"/>
        </w:rPr>
        <w:t>[Delete if not applicable]</w:t>
      </w:r>
    </w:p>
    <w:p w14:paraId="504188B0" w14:textId="77777777" w:rsidR="00EB24DF" w:rsidRPr="00E039B2" w:rsidRDefault="00EB24DF" w:rsidP="00EB24DF">
      <w:pPr>
        <w:tabs>
          <w:tab w:val="left" w:pos="1080"/>
        </w:tabs>
        <w:spacing w:before="480" w:after="240" w:line="240" w:lineRule="auto"/>
        <w:rPr>
          <w:rFonts w:ascii="Arial" w:eastAsia="Times New Roman" w:hAnsi="Arial" w:cs="Arial"/>
          <w:b/>
          <w:bCs/>
          <w:i/>
          <w:iCs/>
          <w:color w:val="0000FF"/>
        </w:rPr>
      </w:pPr>
      <w:r w:rsidRPr="00E039B2">
        <w:rPr>
          <w:rFonts w:ascii="Arial" w:eastAsia="Times New Roman" w:hAnsi="Arial" w:cs="Arial"/>
          <w:b/>
          <w:bCs/>
          <w:smallCaps/>
        </w:rPr>
        <w:t>Note 4</w:t>
      </w:r>
      <w:r w:rsidRPr="00E039B2">
        <w:rPr>
          <w:rFonts w:ascii="Arial" w:eastAsia="Times New Roman" w:hAnsi="Arial" w:cs="Arial"/>
          <w:b/>
          <w:bCs/>
          <w:smallCaps/>
        </w:rPr>
        <w:tab/>
        <w:t>-</w:t>
      </w:r>
      <w:r w:rsidRPr="00E039B2">
        <w:rPr>
          <w:rFonts w:ascii="Arial" w:eastAsia="Times New Roman" w:hAnsi="Arial" w:cs="Arial"/>
          <w:b/>
          <w:bCs/>
          <w:smallCaps/>
        </w:rPr>
        <w:tab/>
        <w:t>Receivables</w:t>
      </w:r>
      <w:r w:rsidRPr="00E039B2">
        <w:rPr>
          <w:rFonts w:ascii="Arial" w:eastAsia="Times New Roman" w:hAnsi="Arial" w:cs="Arial"/>
          <w:b/>
          <w:bCs/>
          <w:smallCaps/>
          <w:color w:val="0000FF"/>
        </w:rPr>
        <w:t xml:space="preserve"> </w:t>
      </w:r>
      <w:r w:rsidRPr="00E039B2">
        <w:rPr>
          <w:rFonts w:ascii="Arial" w:eastAsia="Times New Roman" w:hAnsi="Arial" w:cs="Arial"/>
          <w:b/>
          <w:bCs/>
          <w:i/>
          <w:iCs/>
          <w:color w:val="0000FF"/>
        </w:rPr>
        <w:t xml:space="preserve">[Modify </w:t>
      </w:r>
      <w:r w:rsidRPr="00E039B2">
        <w:rPr>
          <w:rFonts w:ascii="Arial" w:eastAsia="Times New Roman" w:hAnsi="Arial" w:cs="Arial"/>
          <w:b/>
          <w:bCs/>
          <w:i/>
          <w:iCs/>
          <w:color w:val="0000FF"/>
          <w:highlight w:val="yellow"/>
        </w:rPr>
        <w:t>title</w:t>
      </w:r>
      <w:r w:rsidRPr="00E039B2">
        <w:rPr>
          <w:rFonts w:ascii="Arial" w:eastAsia="Times New Roman" w:hAnsi="Arial" w:cs="Arial"/>
          <w:b/>
          <w:bCs/>
          <w:i/>
          <w:iCs/>
          <w:color w:val="0000FF"/>
        </w:rPr>
        <w:t xml:space="preserve"> as necessary]</w:t>
      </w:r>
    </w:p>
    <w:p w14:paraId="7D25981B" w14:textId="77777777" w:rsidR="00EB24DF" w:rsidRPr="00E039B2" w:rsidRDefault="00EB24DF" w:rsidP="00EB24DF">
      <w:pPr>
        <w:tabs>
          <w:tab w:val="left" w:pos="1080"/>
        </w:tabs>
        <w:spacing w:after="240" w:line="240" w:lineRule="auto"/>
        <w:ind w:left="1440"/>
        <w:rPr>
          <w:rFonts w:ascii="Arial" w:eastAsia="Times New Roman" w:hAnsi="Arial" w:cs="Arial"/>
          <w:b/>
          <w:bCs/>
          <w:i/>
          <w:iCs/>
          <w:color w:val="0000FF"/>
        </w:rPr>
      </w:pPr>
      <w:r w:rsidRPr="00E039B2">
        <w:rPr>
          <w:rFonts w:ascii="Arial" w:eastAsia="Times New Roman" w:hAnsi="Arial" w:cs="Arial"/>
          <w:b/>
          <w:bCs/>
          <w:i/>
          <w:iCs/>
          <w:color w:val="0000FF"/>
          <w:highlight w:val="yellow"/>
        </w:rPr>
        <w:t>[Modify tables below as necessary. If no allowance for doubtful accounts, then only one column “Amount” is needed.]</w:t>
      </w:r>
      <w:r w:rsidRPr="00E039B2">
        <w:rPr>
          <w:rFonts w:ascii="Arial" w:eastAsia="Times New Roman" w:hAnsi="Arial" w:cs="Arial"/>
          <w:b/>
          <w:bCs/>
          <w:i/>
          <w:iCs/>
          <w:color w:val="0000FF"/>
        </w:rPr>
        <w:t xml:space="preserve"> </w:t>
      </w:r>
    </w:p>
    <w:p w14:paraId="264951A6" w14:textId="48890C8D" w:rsidR="00EB24DF" w:rsidRPr="00E039B2" w:rsidRDefault="00EB24DF" w:rsidP="00EB24DF">
      <w:pPr>
        <w:spacing w:after="240" w:line="240" w:lineRule="auto"/>
        <w:ind w:left="1440"/>
        <w:jc w:val="both"/>
        <w:rPr>
          <w:rFonts w:ascii="Arial" w:eastAsia="Times New Roman" w:hAnsi="Arial" w:cs="Arial"/>
        </w:rPr>
      </w:pPr>
      <w:r w:rsidRPr="00E039B2">
        <w:rPr>
          <w:rFonts w:ascii="Arial" w:eastAsia="Times New Roman" w:hAnsi="Arial" w:cs="Arial"/>
        </w:rPr>
        <w:t xml:space="preserve">Accounts receivable </w:t>
      </w:r>
      <w:r w:rsidRPr="00E039B2">
        <w:rPr>
          <w:rFonts w:ascii="Arial" w:eastAsia="Times New Roman" w:hAnsi="Arial" w:cs="Arial"/>
          <w:highlight w:val="yellow"/>
        </w:rPr>
        <w:t>for the governmental funds</w:t>
      </w:r>
      <w:r w:rsidRPr="00E039B2">
        <w:rPr>
          <w:rFonts w:ascii="Arial" w:eastAsia="Times New Roman" w:hAnsi="Arial" w:cs="Arial"/>
        </w:rPr>
        <w:t xml:space="preserve"> at June 30, </w:t>
      </w:r>
      <w:r w:rsidRPr="00E039B2">
        <w:rPr>
          <w:rFonts w:ascii="Arial" w:eastAsia="Times New Roman" w:hAnsi="Arial" w:cs="Arial"/>
          <w:highlight w:val="yellow"/>
        </w:rPr>
        <w:t>2020</w:t>
      </w:r>
      <w:r w:rsidRPr="00E039B2">
        <w:rPr>
          <w:rFonts w:ascii="Arial" w:eastAsia="Times New Roman" w:hAnsi="Arial" w:cs="Arial"/>
        </w:rPr>
        <w:t xml:space="preserve"> were as follows: </w:t>
      </w:r>
    </w:p>
    <w:bookmarkStart w:id="3" w:name="_MON_1336388251"/>
    <w:bookmarkStart w:id="4" w:name="_MON_1345448466"/>
    <w:bookmarkEnd w:id="3"/>
    <w:bookmarkEnd w:id="4"/>
    <w:bookmarkStart w:id="5" w:name="_MON_1611729581"/>
    <w:bookmarkEnd w:id="5"/>
    <w:p w14:paraId="65CE214C" w14:textId="4746F678" w:rsidR="00EB24DF" w:rsidRPr="00E039B2" w:rsidRDefault="004A0566" w:rsidP="004A0566">
      <w:pPr>
        <w:spacing w:after="240" w:line="240" w:lineRule="auto"/>
        <w:ind w:left="1440"/>
        <w:jc w:val="right"/>
        <w:rPr>
          <w:rFonts w:ascii="Arial" w:eastAsia="Times New Roman" w:hAnsi="Arial" w:cs="Arial"/>
          <w:b/>
          <w:smallCaps/>
        </w:rPr>
      </w:pPr>
      <w:r w:rsidRPr="00E039B2">
        <w:rPr>
          <w:rFonts w:ascii="Arial" w:eastAsia="Times New Roman" w:hAnsi="Arial" w:cs="Arial"/>
          <w:b/>
          <w:smallCaps/>
        </w:rPr>
        <w:object w:dxaOrig="8472" w:dyaOrig="4734" w14:anchorId="24E6626C">
          <v:shape id="_x0000_i1026" type="#_x0000_t75" style="width:380.25pt;height:196.5pt" o:ole="">
            <v:imagedata r:id="rId15" o:title=""/>
          </v:shape>
          <o:OLEObject Type="Embed" ProgID="Excel.Sheet.8" ShapeID="_x0000_i1026" DrawAspect="Content" ObjectID="_1661757455" r:id="rId16"/>
        </w:object>
      </w:r>
      <w:r w:rsidR="00EB24DF" w:rsidRPr="00E039B2">
        <w:rPr>
          <w:rFonts w:ascii="Times New Roman" w:eastAsia="Times New Roman" w:hAnsi="Times New Roman" w:cs="Times New Roman"/>
          <w:color w:val="0000FF"/>
        </w:rPr>
        <w:tab/>
      </w:r>
    </w:p>
    <w:p w14:paraId="2FE05234" w14:textId="77777777" w:rsidR="00EB24DF" w:rsidRPr="00E039B2" w:rsidRDefault="00EB24DF" w:rsidP="00EB24DF">
      <w:pPr>
        <w:spacing w:after="240" w:line="240" w:lineRule="auto"/>
        <w:ind w:left="1440"/>
        <w:jc w:val="both"/>
        <w:rPr>
          <w:rFonts w:ascii="Arial" w:eastAsia="Times New Roman" w:hAnsi="Arial" w:cs="Arial"/>
        </w:rPr>
      </w:pPr>
      <w:r w:rsidRPr="00E039B2">
        <w:rPr>
          <w:rFonts w:ascii="Arial" w:eastAsia="Times New Roman" w:hAnsi="Arial" w:cs="Arial"/>
          <w:highlight w:val="yellow"/>
        </w:rPr>
        <w:t>Accounts receivable for the proprietary funds at June 30, 2020 were as follows:</w:t>
      </w:r>
    </w:p>
    <w:p w14:paraId="4BBE5674" w14:textId="6AA63920" w:rsidR="00EB24DF" w:rsidRPr="00E039B2" w:rsidRDefault="004A0566" w:rsidP="0028168E">
      <w:pPr>
        <w:spacing w:after="240" w:line="240" w:lineRule="auto"/>
        <w:ind w:left="720" w:firstLine="720"/>
        <w:jc w:val="center"/>
        <w:rPr>
          <w:rFonts w:ascii="Arial" w:eastAsia="Times New Roman" w:hAnsi="Arial" w:cs="Arial"/>
          <w:color w:val="0000FF"/>
        </w:rPr>
      </w:pPr>
      <w:r w:rsidRPr="00E039B2">
        <w:rPr>
          <w:rFonts w:ascii="Arial" w:eastAsia="Times New Roman" w:hAnsi="Arial" w:cs="Arial"/>
          <w:b/>
          <w:smallCaps/>
        </w:rPr>
        <w:object w:dxaOrig="8472" w:dyaOrig="5014" w14:anchorId="355A9955">
          <v:shape id="_x0000_i1027" type="#_x0000_t75" style="width:374.25pt;height:204pt" o:ole="">
            <v:imagedata r:id="rId17" o:title=""/>
          </v:shape>
          <o:OLEObject Type="Embed" ProgID="Excel.Sheet.8" ShapeID="_x0000_i1027" DrawAspect="Content" ObjectID="_1661757456" r:id="rId18"/>
        </w:object>
      </w:r>
    </w:p>
    <w:p w14:paraId="60077781" w14:textId="77777777" w:rsidR="00EB24DF" w:rsidRPr="00E039B2" w:rsidRDefault="00EB24DF" w:rsidP="00EB24DF">
      <w:pPr>
        <w:spacing w:after="240" w:line="240" w:lineRule="auto"/>
        <w:ind w:left="720" w:firstLine="720"/>
        <w:jc w:val="both"/>
        <w:rPr>
          <w:rFonts w:ascii="Times New Roman" w:eastAsia="Times New Roman" w:hAnsi="Times New Roman" w:cs="Times New Roman"/>
        </w:rPr>
      </w:pPr>
      <w:r w:rsidRPr="00E039B2">
        <w:rPr>
          <w:rFonts w:ascii="Arial" w:eastAsia="Times New Roman" w:hAnsi="Arial" w:cs="Arial"/>
          <w:b/>
          <w:i/>
          <w:color w:val="0000FF"/>
        </w:rPr>
        <w:t>[Add further description as necessary]</w:t>
      </w:r>
    </w:p>
    <w:p w14:paraId="19808820" w14:textId="1BBF17D0" w:rsidR="00EB24DF" w:rsidRPr="00E039B2" w:rsidRDefault="00EB24DF" w:rsidP="00EB24DF">
      <w:pPr>
        <w:spacing w:after="240" w:line="240" w:lineRule="auto"/>
        <w:ind w:left="1440"/>
        <w:jc w:val="both"/>
        <w:rPr>
          <w:rFonts w:ascii="Times New Roman" w:eastAsia="Times New Roman" w:hAnsi="Times New Roman" w:cs="Times New Roman"/>
        </w:rPr>
      </w:pPr>
      <w:r w:rsidRPr="00E039B2">
        <w:rPr>
          <w:rFonts w:ascii="Arial" w:eastAsia="Times New Roman" w:hAnsi="Arial" w:cs="Arial"/>
        </w:rPr>
        <w:t xml:space="preserve">Intergovernmental receivables </w:t>
      </w:r>
      <w:r w:rsidRPr="00E039B2">
        <w:rPr>
          <w:rFonts w:ascii="Arial" w:eastAsia="Times New Roman" w:hAnsi="Arial" w:cs="Arial"/>
          <w:highlight w:val="yellow"/>
        </w:rPr>
        <w:t>for the governmental funds</w:t>
      </w:r>
      <w:r w:rsidRPr="00E039B2">
        <w:rPr>
          <w:rFonts w:ascii="Arial" w:eastAsia="Times New Roman" w:hAnsi="Arial" w:cs="Arial"/>
        </w:rPr>
        <w:t xml:space="preserve"> at June 30, </w:t>
      </w:r>
      <w:r w:rsidRPr="00E039B2">
        <w:rPr>
          <w:rFonts w:ascii="Arial" w:eastAsia="Times New Roman" w:hAnsi="Arial" w:cs="Arial"/>
          <w:highlight w:val="yellow"/>
        </w:rPr>
        <w:t>2020</w:t>
      </w:r>
      <w:r w:rsidRPr="00E039B2">
        <w:rPr>
          <w:rFonts w:ascii="Arial" w:eastAsia="Times New Roman" w:hAnsi="Arial" w:cs="Arial"/>
        </w:rPr>
        <w:t xml:space="preserve"> were as follows: </w:t>
      </w:r>
      <w:bookmarkStart w:id="6" w:name="_MON_1550401796"/>
      <w:bookmarkEnd w:id="6"/>
    </w:p>
    <w:bookmarkStart w:id="7" w:name="_MON_1625048731"/>
    <w:bookmarkEnd w:id="7"/>
    <w:p w14:paraId="72F2FB8E" w14:textId="64D23190" w:rsidR="00EB24DF" w:rsidRPr="00E039B2" w:rsidRDefault="004A0566" w:rsidP="00EB24DF">
      <w:pPr>
        <w:spacing w:after="240" w:line="240" w:lineRule="auto"/>
        <w:ind w:left="1440"/>
        <w:jc w:val="center"/>
        <w:rPr>
          <w:rFonts w:ascii="Arial" w:eastAsia="Times New Roman" w:hAnsi="Arial" w:cs="Arial"/>
        </w:rPr>
      </w:pPr>
      <w:r w:rsidRPr="00E039B2">
        <w:rPr>
          <w:rFonts w:ascii="Arial" w:eastAsia="Times New Roman" w:hAnsi="Arial" w:cs="Arial"/>
        </w:rPr>
        <w:object w:dxaOrig="8775" w:dyaOrig="4935" w14:anchorId="6FB93262">
          <v:shape id="_x0000_i1028" type="#_x0000_t75" style="width:378pt;height:196.5pt" o:ole="">
            <v:imagedata r:id="rId19" o:title=""/>
          </v:shape>
          <o:OLEObject Type="Embed" ProgID="Excel.Sheet.8" ShapeID="_x0000_i1028" DrawAspect="Content" ObjectID="_1661757457" r:id="rId20"/>
        </w:object>
      </w:r>
    </w:p>
    <w:p w14:paraId="6EA95ECF" w14:textId="77777777" w:rsidR="00EB24DF" w:rsidRPr="00E039B2" w:rsidRDefault="00EB24DF" w:rsidP="00EB24DF">
      <w:pPr>
        <w:spacing w:after="240" w:line="240" w:lineRule="auto"/>
        <w:ind w:left="1440"/>
        <w:rPr>
          <w:rFonts w:ascii="Arial" w:eastAsia="Times New Roman" w:hAnsi="Arial" w:cs="Arial"/>
        </w:rPr>
      </w:pPr>
      <w:r w:rsidRPr="00E039B2">
        <w:rPr>
          <w:rFonts w:ascii="Arial" w:eastAsia="Times New Roman" w:hAnsi="Arial" w:cs="Arial"/>
          <w:highlight w:val="yellow"/>
        </w:rPr>
        <w:t>Intergovernmental receivables for the proprietary funds at June 30, 2020 were as follows:</w:t>
      </w:r>
    </w:p>
    <w:p w14:paraId="72A71E83" w14:textId="7DC1436D" w:rsidR="00EB24DF" w:rsidRPr="00E039B2" w:rsidRDefault="004A0566" w:rsidP="00EB24DF">
      <w:pPr>
        <w:spacing w:after="240" w:line="240" w:lineRule="auto"/>
        <w:ind w:left="1440"/>
        <w:jc w:val="center"/>
        <w:rPr>
          <w:rFonts w:ascii="Arial" w:eastAsia="Times New Roman" w:hAnsi="Arial" w:cs="Arial"/>
        </w:rPr>
      </w:pPr>
      <w:r w:rsidRPr="00E039B2">
        <w:rPr>
          <w:rFonts w:ascii="Arial" w:eastAsia="Times New Roman" w:hAnsi="Arial" w:cs="Arial"/>
        </w:rPr>
        <w:object w:dxaOrig="9335" w:dyaOrig="5014" w14:anchorId="2ECED802">
          <v:shape id="_x0000_i1029" type="#_x0000_t75" style="width:387pt;height:192.75pt" o:ole="">
            <v:imagedata r:id="rId21" o:title=""/>
          </v:shape>
          <o:OLEObject Type="Embed" ProgID="Excel.Sheet.8" ShapeID="_x0000_i1029" DrawAspect="Content" ObjectID="_1661757458" r:id="rId22"/>
        </w:object>
      </w:r>
    </w:p>
    <w:p w14:paraId="5E6B28C5" w14:textId="5238FB19" w:rsidR="001F2102" w:rsidRPr="00E039B2" w:rsidRDefault="00EB24DF" w:rsidP="00EB24DF">
      <w:pPr>
        <w:spacing w:after="240" w:line="240" w:lineRule="auto"/>
        <w:ind w:left="720" w:firstLine="720"/>
        <w:jc w:val="both"/>
        <w:rPr>
          <w:rFonts w:ascii="Arial" w:eastAsia="Times New Roman" w:hAnsi="Arial" w:cs="Arial"/>
          <w:b/>
          <w:i/>
          <w:color w:val="0000FF"/>
        </w:rPr>
      </w:pPr>
      <w:r w:rsidRPr="00E039B2">
        <w:rPr>
          <w:rFonts w:ascii="Arial" w:eastAsia="Times New Roman" w:hAnsi="Arial" w:cs="Arial"/>
          <w:b/>
          <w:i/>
          <w:color w:val="0000FF"/>
        </w:rPr>
        <w:t>[Add further description as necessary]</w:t>
      </w:r>
    </w:p>
    <w:p w14:paraId="5DC1FF43" w14:textId="77777777" w:rsidR="00EB24DF" w:rsidRPr="00E039B2" w:rsidRDefault="00EB24DF" w:rsidP="00EB24DF">
      <w:pPr>
        <w:tabs>
          <w:tab w:val="left" w:pos="1080"/>
        </w:tabs>
        <w:spacing w:before="360" w:after="240" w:line="240" w:lineRule="auto"/>
        <w:rPr>
          <w:rFonts w:ascii="Arial" w:eastAsia="Times New Roman" w:hAnsi="Arial" w:cs="Arial"/>
          <w:b/>
          <w:smallCaps/>
        </w:rPr>
      </w:pPr>
      <w:r w:rsidRPr="00E039B2">
        <w:rPr>
          <w:rFonts w:ascii="Arial" w:eastAsia="Times New Roman" w:hAnsi="Arial" w:cs="Arial"/>
          <w:b/>
          <w:smallCaps/>
        </w:rPr>
        <w:t>Note 5</w:t>
      </w:r>
      <w:r w:rsidRPr="00E039B2">
        <w:rPr>
          <w:rFonts w:ascii="Arial" w:eastAsia="Times New Roman" w:hAnsi="Arial" w:cs="Arial"/>
          <w:b/>
          <w:smallCaps/>
        </w:rPr>
        <w:tab/>
        <w:t>-</w:t>
      </w:r>
      <w:r w:rsidRPr="00E039B2">
        <w:rPr>
          <w:rFonts w:ascii="Arial" w:eastAsia="Times New Roman" w:hAnsi="Arial" w:cs="Arial"/>
          <w:b/>
          <w:smallCaps/>
        </w:rPr>
        <w:tab/>
        <w:t>Inventories</w:t>
      </w:r>
      <w:r w:rsidRPr="00E039B2">
        <w:rPr>
          <w:rFonts w:ascii="Arial" w:eastAsia="Times New Roman" w:hAnsi="Arial" w:cs="Arial"/>
          <w:b/>
          <w:smallCaps/>
          <w:color w:val="0000FF"/>
        </w:rPr>
        <w:t xml:space="preserve"> </w:t>
      </w:r>
      <w:r w:rsidRPr="00E039B2">
        <w:rPr>
          <w:rFonts w:ascii="Arial" w:eastAsia="Calibri" w:hAnsi="Arial" w:cs="Arial"/>
          <w:b/>
          <w:i/>
          <w:color w:val="0000FF"/>
        </w:rPr>
        <w:t>[Remove note if not considered significant]</w:t>
      </w:r>
    </w:p>
    <w:p w14:paraId="766A982F" w14:textId="18330AB1" w:rsidR="00EB24DF" w:rsidRPr="00E039B2" w:rsidRDefault="00EB24DF" w:rsidP="00EB24DF">
      <w:pPr>
        <w:spacing w:after="160" w:line="259" w:lineRule="auto"/>
        <w:ind w:left="1440"/>
        <w:rPr>
          <w:rFonts w:ascii="Arial" w:eastAsia="Calibri" w:hAnsi="Arial" w:cs="Arial"/>
          <w:b/>
          <w:color w:val="0000FF"/>
        </w:rPr>
      </w:pPr>
      <w:r w:rsidRPr="00E039B2">
        <w:rPr>
          <w:rFonts w:ascii="Arial" w:eastAsia="Calibri" w:hAnsi="Arial" w:cs="Arial"/>
        </w:rPr>
        <w:t xml:space="preserve">Inventories at June 30, </w:t>
      </w:r>
      <w:r w:rsidRPr="00E039B2">
        <w:rPr>
          <w:rFonts w:ascii="Arial" w:eastAsia="Calibri" w:hAnsi="Arial" w:cs="Arial"/>
          <w:highlight w:val="yellow"/>
        </w:rPr>
        <w:t>2020</w:t>
      </w:r>
      <w:r w:rsidRPr="00E039B2">
        <w:rPr>
          <w:rFonts w:ascii="Arial" w:eastAsia="Calibri" w:hAnsi="Arial" w:cs="Arial"/>
        </w:rPr>
        <w:t>, were as follows:</w:t>
      </w:r>
      <w:r w:rsidRPr="00E039B2">
        <w:rPr>
          <w:rFonts w:ascii="Arial" w:eastAsia="Calibri" w:hAnsi="Arial" w:cs="Arial"/>
          <w:b/>
          <w:color w:val="0000FF"/>
        </w:rPr>
        <w:t xml:space="preserve"> </w:t>
      </w:r>
    </w:p>
    <w:p w14:paraId="725D4406" w14:textId="77777777" w:rsidR="00EB24DF" w:rsidRPr="00E039B2" w:rsidRDefault="00EB24DF" w:rsidP="00EB24DF">
      <w:pPr>
        <w:spacing w:after="160" w:line="259" w:lineRule="auto"/>
        <w:ind w:left="1440"/>
        <w:rPr>
          <w:rFonts w:ascii="Arial" w:eastAsia="Calibri" w:hAnsi="Arial" w:cs="Arial"/>
          <w:b/>
          <w:color w:val="0000FF"/>
        </w:rPr>
      </w:pPr>
      <w:r w:rsidRPr="00E039B2">
        <w:rPr>
          <w:rFonts w:ascii="Arial" w:eastAsia="Calibri" w:hAnsi="Arial" w:cs="Arial"/>
          <w:b/>
          <w:i/>
          <w:color w:val="0000FF"/>
        </w:rPr>
        <w:t>[Note to preparer: Modify as necessary and only include funds with significant inventory balances.]</w:t>
      </w:r>
    </w:p>
    <w:p w14:paraId="7F078B3E" w14:textId="357E1F0D" w:rsidR="00EB24DF" w:rsidRPr="00E039B2" w:rsidRDefault="004A0566" w:rsidP="004A0566">
      <w:pPr>
        <w:spacing w:after="160" w:line="259" w:lineRule="auto"/>
        <w:ind w:left="720" w:firstLine="720"/>
        <w:jc w:val="center"/>
        <w:rPr>
          <w:rFonts w:ascii="Arial" w:eastAsia="Calibri" w:hAnsi="Arial" w:cs="Arial"/>
        </w:rPr>
      </w:pPr>
      <w:r w:rsidRPr="00E039B2">
        <w:rPr>
          <w:rFonts w:ascii="Arial" w:eastAsia="Calibri" w:hAnsi="Arial" w:cs="Arial"/>
          <w:b/>
          <w:color w:val="0000FF"/>
        </w:rPr>
        <w:object w:dxaOrig="6956" w:dyaOrig="2896" w14:anchorId="47A34605">
          <v:shape id="_x0000_i1030" type="#_x0000_t75" style="width:286.5pt;height:119.25pt" o:ole="">
            <v:imagedata r:id="rId23" o:title=""/>
          </v:shape>
          <o:OLEObject Type="Embed" ProgID="Excel.Sheet.12" ShapeID="_x0000_i1030" DrawAspect="Content" ObjectID="_1661757459" r:id="rId24"/>
        </w:object>
      </w:r>
    </w:p>
    <w:p w14:paraId="5171DE33" w14:textId="488F9043" w:rsidR="00EB24DF" w:rsidRPr="00E039B2" w:rsidRDefault="00EB24DF" w:rsidP="00EB24DF">
      <w:pPr>
        <w:spacing w:after="240" w:line="240" w:lineRule="auto"/>
        <w:ind w:left="720" w:firstLine="720"/>
        <w:jc w:val="both"/>
        <w:rPr>
          <w:rFonts w:ascii="Arial" w:eastAsia="Times New Roman" w:hAnsi="Arial" w:cs="Arial"/>
          <w:b/>
          <w:i/>
          <w:color w:val="0000FF"/>
        </w:rPr>
      </w:pPr>
      <w:r w:rsidRPr="00E039B2">
        <w:rPr>
          <w:rFonts w:ascii="Arial" w:eastAsia="Times New Roman" w:hAnsi="Arial" w:cs="Arial"/>
          <w:b/>
          <w:i/>
          <w:color w:val="0000FF"/>
        </w:rPr>
        <w:t>[Add further description as necessary]</w:t>
      </w:r>
    </w:p>
    <w:p w14:paraId="69E61265" w14:textId="77777777" w:rsidR="00EB24DF" w:rsidRPr="00E039B2" w:rsidRDefault="00EB24DF" w:rsidP="00EB24DF">
      <w:pPr>
        <w:tabs>
          <w:tab w:val="left" w:pos="1080"/>
        </w:tabs>
        <w:spacing w:before="360" w:after="240" w:line="240" w:lineRule="auto"/>
        <w:rPr>
          <w:rFonts w:ascii="Arial" w:eastAsia="Times New Roman" w:hAnsi="Arial" w:cs="Arial"/>
          <w:b/>
          <w:smallCaps/>
        </w:rPr>
      </w:pPr>
      <w:r w:rsidRPr="00E039B2">
        <w:rPr>
          <w:rFonts w:ascii="Arial" w:eastAsia="Times New Roman" w:hAnsi="Arial" w:cs="Arial"/>
          <w:b/>
          <w:smallCaps/>
        </w:rPr>
        <w:t>Note 6</w:t>
      </w:r>
      <w:r w:rsidRPr="00E039B2">
        <w:rPr>
          <w:rFonts w:ascii="Arial" w:eastAsia="Times New Roman" w:hAnsi="Arial" w:cs="Arial"/>
          <w:b/>
          <w:smallCaps/>
        </w:rPr>
        <w:tab/>
        <w:t>-</w:t>
      </w:r>
      <w:r w:rsidRPr="00E039B2">
        <w:rPr>
          <w:rFonts w:ascii="Arial" w:eastAsia="Times New Roman" w:hAnsi="Arial" w:cs="Arial"/>
          <w:b/>
          <w:smallCaps/>
        </w:rPr>
        <w:tab/>
        <w:t>Capital Assets</w:t>
      </w:r>
    </w:p>
    <w:p w14:paraId="3A5C8B7A" w14:textId="5A77ABF1" w:rsidR="00EB24DF" w:rsidRPr="00E039B2" w:rsidRDefault="00EB24DF" w:rsidP="00EB24DF">
      <w:pPr>
        <w:spacing w:after="240" w:line="240" w:lineRule="auto"/>
        <w:ind w:left="1440"/>
        <w:jc w:val="both"/>
        <w:rPr>
          <w:rFonts w:ascii="Arial" w:eastAsia="Times New Roman" w:hAnsi="Arial" w:cs="Arial"/>
        </w:rPr>
      </w:pPr>
      <w:r w:rsidRPr="00E039B2">
        <w:rPr>
          <w:rFonts w:ascii="Arial" w:eastAsia="Times New Roman" w:hAnsi="Arial" w:cs="Arial"/>
        </w:rPr>
        <w:t xml:space="preserve">A summary of changes in the governmental funds’ capital assets for the year ended June 30, </w:t>
      </w:r>
      <w:r w:rsidRPr="00E039B2">
        <w:rPr>
          <w:rFonts w:ascii="Arial" w:eastAsia="Times New Roman" w:hAnsi="Arial" w:cs="Arial"/>
          <w:highlight w:val="yellow"/>
        </w:rPr>
        <w:t xml:space="preserve">2020 </w:t>
      </w:r>
      <w:r w:rsidRPr="00E039B2">
        <w:rPr>
          <w:rFonts w:ascii="Arial" w:eastAsia="Times New Roman" w:hAnsi="Arial" w:cs="Arial"/>
        </w:rPr>
        <w:t xml:space="preserve">is presented as follows: </w:t>
      </w:r>
      <w:r w:rsidRPr="00E039B2">
        <w:rPr>
          <w:rFonts w:ascii="Arial" w:eastAsia="Times New Roman" w:hAnsi="Arial" w:cs="Arial"/>
          <w:b/>
          <w:i/>
          <w:color w:val="0000FF"/>
        </w:rPr>
        <w:t xml:space="preserve">[Capitalization of Construction in Progress (CIP) should be shown as increase in appropriate depreciable asset caption and decrease in CIP. </w:t>
      </w:r>
      <w:r w:rsidRPr="00E039B2">
        <w:rPr>
          <w:rFonts w:ascii="Arial" w:eastAsia="Times New Roman" w:hAnsi="Arial" w:cs="Arial"/>
          <w:b/>
          <w:i/>
          <w:color w:val="0000FF"/>
          <w:highlight w:val="yellow"/>
        </w:rPr>
        <w:t>See below table for disclosures related to impairment of capital assets and insurance recoveries.]</w:t>
      </w:r>
    </w:p>
    <w:p w14:paraId="0B5F988C" w14:textId="77777777" w:rsidR="00EB24DF" w:rsidRPr="00E039B2" w:rsidRDefault="00EB24DF" w:rsidP="00EB24DF">
      <w:pPr>
        <w:spacing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t xml:space="preserve">[Note to Preparer: Replace Other [Describe] with the name of any other major category of intangible assets capitalized by the Department. See GASB 51 for further guidance.] </w:t>
      </w:r>
    </w:p>
    <w:bookmarkStart w:id="8" w:name="_MON_1402754371"/>
    <w:bookmarkStart w:id="9" w:name="_MON_1401180792"/>
    <w:bookmarkStart w:id="10" w:name="_MON_1401180800"/>
    <w:bookmarkStart w:id="11" w:name="_MON_1402754444"/>
    <w:bookmarkEnd w:id="8"/>
    <w:bookmarkEnd w:id="9"/>
    <w:bookmarkEnd w:id="10"/>
    <w:bookmarkEnd w:id="11"/>
    <w:bookmarkStart w:id="12" w:name="_MON_1399444129"/>
    <w:bookmarkEnd w:id="12"/>
    <w:p w14:paraId="6D6BE270" w14:textId="3B677453" w:rsidR="00EB24DF" w:rsidRPr="00E039B2" w:rsidRDefault="004A0566" w:rsidP="004A0566">
      <w:pPr>
        <w:spacing w:after="0" w:line="240" w:lineRule="auto"/>
        <w:ind w:left="720" w:firstLine="720"/>
        <w:rPr>
          <w:rFonts w:ascii="Times New Roman" w:eastAsia="Times New Roman" w:hAnsi="Times New Roman" w:cs="Times New Roman"/>
        </w:rPr>
      </w:pPr>
      <w:r w:rsidRPr="00E039B2">
        <w:rPr>
          <w:rFonts w:ascii="Univers (W1)" w:eastAsia="Times New Roman" w:hAnsi="Univers (W1)" w:cs="Times New Roman"/>
        </w:rPr>
        <w:object w:dxaOrig="11856" w:dyaOrig="9261" w14:anchorId="23D1D6F0">
          <v:shape id="_x0000_i1031" type="#_x0000_t75" style="width:406.5pt;height:320.25pt" o:ole="">
            <v:imagedata r:id="rId25" o:title=""/>
          </v:shape>
          <o:OLEObject Type="Embed" ProgID="Excel.Sheet.12" ShapeID="_x0000_i1031" DrawAspect="Content" ObjectID="_1661757460" r:id="rId26"/>
        </w:object>
      </w:r>
    </w:p>
    <w:p w14:paraId="5EDAC9A3" w14:textId="77777777" w:rsidR="00EB24DF" w:rsidRPr="00E039B2" w:rsidRDefault="00EB24DF" w:rsidP="00EB24DF">
      <w:pPr>
        <w:spacing w:after="0" w:line="240" w:lineRule="auto"/>
        <w:ind w:firstLine="360"/>
        <w:jc w:val="both"/>
        <w:rPr>
          <w:rFonts w:ascii="Times New Roman" w:eastAsia="Times New Roman" w:hAnsi="Times New Roman" w:cs="Times New Roman"/>
        </w:rPr>
      </w:pPr>
    </w:p>
    <w:p w14:paraId="0A76623C" w14:textId="14B10A07" w:rsidR="00EB24DF" w:rsidRPr="00E039B2" w:rsidRDefault="00EB24DF" w:rsidP="00EB24DF">
      <w:pPr>
        <w:spacing w:after="0" w:line="240" w:lineRule="auto"/>
        <w:ind w:left="1440"/>
        <w:jc w:val="both"/>
        <w:rPr>
          <w:rFonts w:ascii="Arial" w:eastAsia="Times New Roman" w:hAnsi="Arial" w:cs="Arial"/>
          <w:bCs/>
        </w:rPr>
      </w:pPr>
      <w:r w:rsidRPr="00E039B2">
        <w:rPr>
          <w:rFonts w:ascii="Arial" w:eastAsia="Times New Roman" w:hAnsi="Arial" w:cs="Arial"/>
          <w:bCs/>
        </w:rPr>
        <w:t xml:space="preserve">A summary of changes in the proprietary funds’ capital assets for the year ended June 30, </w:t>
      </w:r>
      <w:r w:rsidRPr="00E039B2">
        <w:rPr>
          <w:rFonts w:ascii="Arial" w:eastAsia="Times New Roman" w:hAnsi="Arial" w:cs="Arial"/>
          <w:bCs/>
          <w:highlight w:val="yellow"/>
        </w:rPr>
        <w:t>2020</w:t>
      </w:r>
      <w:r w:rsidRPr="00E039B2">
        <w:rPr>
          <w:rFonts w:ascii="Arial" w:eastAsia="Times New Roman" w:hAnsi="Arial" w:cs="Arial"/>
          <w:bCs/>
        </w:rPr>
        <w:t xml:space="preserve"> is presented as follows: </w:t>
      </w:r>
      <w:r w:rsidRPr="00E039B2">
        <w:rPr>
          <w:rFonts w:ascii="Arial" w:eastAsia="Times New Roman" w:hAnsi="Arial" w:cs="Arial"/>
          <w:b/>
          <w:bCs/>
          <w:i/>
          <w:color w:val="0000FF"/>
        </w:rPr>
        <w:t>[Delete section if no Proprietary Funds]</w:t>
      </w:r>
    </w:p>
    <w:p w14:paraId="7AA36079" w14:textId="77777777" w:rsidR="00EB24DF" w:rsidRPr="00E039B2" w:rsidRDefault="00EB24DF" w:rsidP="00EB24DF">
      <w:pPr>
        <w:spacing w:after="0" w:line="240" w:lineRule="auto"/>
        <w:ind w:left="1440"/>
        <w:jc w:val="both"/>
        <w:rPr>
          <w:rFonts w:ascii="Arial" w:eastAsia="Times New Roman" w:hAnsi="Arial" w:cs="Arial"/>
          <w:bCs/>
        </w:rPr>
      </w:pPr>
    </w:p>
    <w:bookmarkStart w:id="13" w:name="_MON_1625662694"/>
    <w:bookmarkEnd w:id="13"/>
    <w:p w14:paraId="68B90980" w14:textId="461EEF0C" w:rsidR="00EB24DF" w:rsidRPr="00E039B2" w:rsidRDefault="004A0566" w:rsidP="004A0566">
      <w:pPr>
        <w:spacing w:after="0" w:line="240" w:lineRule="auto"/>
        <w:ind w:left="1440"/>
        <w:jc w:val="center"/>
        <w:rPr>
          <w:rFonts w:ascii="Arial" w:eastAsia="Times New Roman" w:hAnsi="Arial" w:cs="Arial"/>
          <w:bCs/>
        </w:rPr>
      </w:pPr>
      <w:r w:rsidRPr="00E039B2">
        <w:rPr>
          <w:rFonts w:ascii="Univers (W1)" w:eastAsia="Times New Roman" w:hAnsi="Univers (W1)" w:cs="Times New Roman"/>
        </w:rPr>
        <w:object w:dxaOrig="11856" w:dyaOrig="9261" w14:anchorId="442F6943">
          <v:shape id="_x0000_i1032" type="#_x0000_t75" style="width:402.75pt;height:317.25pt" o:ole="">
            <v:imagedata r:id="rId25" o:title=""/>
          </v:shape>
          <o:OLEObject Type="Embed" ProgID="Excel.Sheet.12" ShapeID="_x0000_i1032" DrawAspect="Content" ObjectID="_1661757461" r:id="rId27"/>
        </w:object>
      </w:r>
    </w:p>
    <w:p w14:paraId="1DAE63F8" w14:textId="77777777" w:rsidR="00EB24DF" w:rsidRPr="00E039B2" w:rsidRDefault="00EB24DF" w:rsidP="00EB24DF">
      <w:pPr>
        <w:spacing w:before="360" w:after="120" w:line="240" w:lineRule="auto"/>
        <w:ind w:left="1440"/>
        <w:jc w:val="both"/>
        <w:rPr>
          <w:rFonts w:ascii="Arial" w:eastAsia="Times New Roman" w:hAnsi="Arial" w:cs="Arial"/>
          <w:b/>
          <w:bCs/>
          <w:i/>
          <w:color w:val="0000FF"/>
        </w:rPr>
      </w:pPr>
      <w:r w:rsidRPr="00E039B2">
        <w:rPr>
          <w:rFonts w:ascii="Arial" w:eastAsia="Times New Roman" w:hAnsi="Arial" w:cs="Arial"/>
          <w:b/>
          <w:bCs/>
          <w:i/>
          <w:color w:val="0000FF"/>
        </w:rPr>
        <w:t>[Include the following disclosures where applicable, otherwise remove. Disclosures related to significant accounting policies should be included in Note 1 – Significant Accounting Policies (i.e. capitalization thresholds, explanation for assets not capitalized).]</w:t>
      </w:r>
    </w:p>
    <w:p w14:paraId="694A604A" w14:textId="66DA6623" w:rsidR="00EB24DF" w:rsidRPr="00E039B2" w:rsidRDefault="003C24F6" w:rsidP="00EB24DF">
      <w:pPr>
        <w:spacing w:after="0" w:line="240" w:lineRule="auto"/>
        <w:ind w:left="1440"/>
        <w:jc w:val="both"/>
        <w:rPr>
          <w:rFonts w:ascii="Arial" w:eastAsia="Times New Roman" w:hAnsi="Arial" w:cs="Arial"/>
          <w:b/>
          <w:bCs/>
          <w:i/>
          <w:color w:val="0000FF"/>
        </w:rPr>
      </w:pPr>
      <w:r w:rsidRPr="00E039B2">
        <w:rPr>
          <w:rFonts w:ascii="Arial" w:eastAsia="Times New Roman" w:hAnsi="Arial" w:cs="Arial"/>
          <w:b/>
          <w:bCs/>
          <w:i/>
          <w:color w:val="0000FF"/>
          <w:highlight w:val="yellow"/>
        </w:rPr>
        <w:t xml:space="preserve"> </w:t>
      </w:r>
      <w:r w:rsidR="00EB24DF" w:rsidRPr="00E039B2">
        <w:rPr>
          <w:rFonts w:ascii="Arial" w:eastAsia="Times New Roman" w:hAnsi="Arial" w:cs="Arial"/>
          <w:b/>
          <w:bCs/>
          <w:i/>
          <w:color w:val="0000FF"/>
          <w:highlight w:val="yellow"/>
        </w:rPr>
        <w:t>[Note to preparer: Disclosure of assets pledged as collateral for debt now included in long-term liabilities disclosure with other GASB 88 requirements.]</w:t>
      </w:r>
    </w:p>
    <w:p w14:paraId="655CF463" w14:textId="77777777" w:rsidR="00EB24DF" w:rsidRPr="00E039B2" w:rsidRDefault="00EB24DF" w:rsidP="00EB24DF">
      <w:pPr>
        <w:spacing w:before="360"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t xml:space="preserve">[Note to Preparer: Identify any impairment loss in connection with capital assets. </w:t>
      </w:r>
      <w:r w:rsidRPr="00E039B2">
        <w:rPr>
          <w:rFonts w:ascii="Arial" w:eastAsia="Times New Roman" w:hAnsi="Arial" w:cs="Arial"/>
          <w:b/>
          <w:bCs/>
          <w:i/>
          <w:color w:val="0000FF"/>
        </w:rPr>
        <w:t>Insurance recoveries reported in years subsequent to the impairment loss should be reported as nonoperating revenue or extraordinary items, as appropriate</w:t>
      </w:r>
      <w:r w:rsidRPr="00E039B2">
        <w:rPr>
          <w:rFonts w:ascii="Arial" w:eastAsia="Times New Roman" w:hAnsi="Arial" w:cs="Arial"/>
          <w:b/>
          <w:i/>
          <w:color w:val="0000FF"/>
        </w:rPr>
        <w:t>. See GASB 42, paragraphs 17-22 for additional guidance.]</w:t>
      </w:r>
    </w:p>
    <w:p w14:paraId="3A185D52" w14:textId="77777777" w:rsidR="00EB24DF" w:rsidRPr="00E039B2" w:rsidRDefault="00EB24DF" w:rsidP="00EB24DF">
      <w:pPr>
        <w:spacing w:after="240" w:line="240" w:lineRule="auto"/>
        <w:ind w:left="1440"/>
        <w:jc w:val="both"/>
        <w:rPr>
          <w:rFonts w:ascii="Arial" w:eastAsia="Times New Roman" w:hAnsi="Arial" w:cs="Arial"/>
        </w:rPr>
      </w:pPr>
      <w:r w:rsidRPr="00E039B2">
        <w:rPr>
          <w:rFonts w:ascii="Arial" w:eastAsia="Times New Roman" w:hAnsi="Arial" w:cs="Arial"/>
        </w:rPr>
        <w:t xml:space="preserve">The carrying amount of impaired capital assets idle at year end is $_______ for buildings and $_______ for machinery and equipment. </w:t>
      </w:r>
      <w:r w:rsidRPr="00E039B2">
        <w:rPr>
          <w:rFonts w:ascii="Arial" w:eastAsia="Times New Roman" w:hAnsi="Arial" w:cs="Arial"/>
          <w:b/>
          <w:bCs/>
          <w:i/>
          <w:color w:val="0000FF"/>
        </w:rPr>
        <w:t>[Modify as necessary.]</w:t>
      </w:r>
    </w:p>
    <w:p w14:paraId="53C0E715" w14:textId="77777777" w:rsidR="00EB24DF" w:rsidRPr="00E039B2" w:rsidRDefault="00EB24DF" w:rsidP="00EB24DF">
      <w:pPr>
        <w:spacing w:after="240" w:line="240" w:lineRule="auto"/>
        <w:ind w:left="1440"/>
        <w:jc w:val="both"/>
        <w:rPr>
          <w:rFonts w:ascii="Arial" w:eastAsia="Times New Roman" w:hAnsi="Arial" w:cs="Arial"/>
          <w:b/>
          <w:i/>
          <w:color w:val="0000FF"/>
        </w:rPr>
      </w:pPr>
      <w:r w:rsidRPr="00E039B2">
        <w:rPr>
          <w:rFonts w:ascii="Arial" w:eastAsia="Times New Roman" w:hAnsi="Arial" w:cs="Arial"/>
        </w:rPr>
        <w:t xml:space="preserve">Supplies and materials expense includes an impairment loss of $_______ due to __________, which is net of an insurance recovery of $_________. In addition, nonoperating revenues include an insurance recovery of ______ related to prior year impairments. </w:t>
      </w:r>
      <w:r w:rsidRPr="00E039B2">
        <w:rPr>
          <w:rFonts w:ascii="Arial" w:eastAsia="Times New Roman" w:hAnsi="Arial" w:cs="Arial"/>
          <w:b/>
          <w:bCs/>
          <w:i/>
          <w:color w:val="0000FF"/>
        </w:rPr>
        <w:t>[Modify as necessary.]</w:t>
      </w:r>
      <w:r w:rsidRPr="00E039B2" w:rsidDel="00094C4E">
        <w:rPr>
          <w:rFonts w:ascii="Arial" w:eastAsia="Times New Roman" w:hAnsi="Arial" w:cs="Arial"/>
          <w:b/>
          <w:bCs/>
          <w:i/>
          <w:color w:val="0000FF"/>
        </w:rPr>
        <w:t xml:space="preserve"> </w:t>
      </w:r>
    </w:p>
    <w:p w14:paraId="2A6DF7BB" w14:textId="748D8580" w:rsidR="00EB24DF" w:rsidRPr="00E039B2" w:rsidRDefault="00EB24DF" w:rsidP="00EB24DF">
      <w:pPr>
        <w:tabs>
          <w:tab w:val="left" w:pos="1560"/>
        </w:tabs>
        <w:spacing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lastRenderedPageBreak/>
        <w:t>[Note to Preparer: If the Department has significant assets that were recorded at acquisition value, explain the methods that were used to determine the asset’s value.]</w:t>
      </w:r>
    </w:p>
    <w:p w14:paraId="3A20F186" w14:textId="77777777" w:rsidR="009B5086" w:rsidRPr="00E039B2" w:rsidRDefault="009B5086" w:rsidP="009B5086">
      <w:pPr>
        <w:tabs>
          <w:tab w:val="left" w:pos="1080"/>
        </w:tabs>
        <w:spacing w:before="480" w:after="240" w:line="240" w:lineRule="auto"/>
        <w:rPr>
          <w:rFonts w:ascii="Arial" w:eastAsia="Times New Roman" w:hAnsi="Arial" w:cs="Arial"/>
          <w:b/>
          <w:bCs/>
          <w:i/>
          <w:iCs/>
          <w:color w:val="0000FF"/>
        </w:rPr>
      </w:pPr>
      <w:r w:rsidRPr="00E039B2">
        <w:rPr>
          <w:rFonts w:ascii="Arial" w:eastAsia="Times New Roman" w:hAnsi="Arial" w:cs="Arial"/>
          <w:b/>
          <w:smallCaps/>
        </w:rPr>
        <w:t>Note 7</w:t>
      </w:r>
      <w:r w:rsidRPr="00E039B2">
        <w:rPr>
          <w:rFonts w:ascii="Arial" w:eastAsia="Times New Roman" w:hAnsi="Arial" w:cs="Arial"/>
          <w:b/>
          <w:smallCaps/>
        </w:rPr>
        <w:tab/>
        <w:t>-</w:t>
      </w:r>
      <w:r w:rsidRPr="00E039B2">
        <w:rPr>
          <w:rFonts w:ascii="Arial" w:eastAsia="Times New Roman" w:hAnsi="Arial" w:cs="Arial"/>
          <w:b/>
          <w:smallCaps/>
        </w:rPr>
        <w:tab/>
        <w:t xml:space="preserve">Payables </w:t>
      </w:r>
      <w:r w:rsidRPr="00E039B2">
        <w:rPr>
          <w:rFonts w:ascii="Arial" w:eastAsia="Times New Roman" w:hAnsi="Arial" w:cs="Arial"/>
          <w:b/>
          <w:bCs/>
          <w:i/>
          <w:iCs/>
          <w:color w:val="0000FF"/>
        </w:rPr>
        <w:t>[Modify as necessary.]</w:t>
      </w:r>
    </w:p>
    <w:p w14:paraId="1CDE851D" w14:textId="67E2BF7C" w:rsidR="009B5086" w:rsidRPr="00E039B2" w:rsidRDefault="009B5086" w:rsidP="009B5086">
      <w:pPr>
        <w:spacing w:after="240" w:line="240" w:lineRule="auto"/>
        <w:ind w:left="1440"/>
        <w:jc w:val="both"/>
        <w:rPr>
          <w:rFonts w:ascii="Arial" w:eastAsia="Times New Roman" w:hAnsi="Arial" w:cs="Arial"/>
          <w:b/>
          <w:i/>
          <w:color w:val="000000"/>
        </w:rPr>
      </w:pPr>
      <w:r w:rsidRPr="00E039B2">
        <w:rPr>
          <w:rFonts w:ascii="Arial" w:eastAsia="Times New Roman" w:hAnsi="Arial" w:cs="Arial"/>
        </w:rPr>
        <w:t xml:space="preserve">Payables for the governmental funds at June 30, </w:t>
      </w:r>
      <w:r w:rsidRPr="00E039B2">
        <w:rPr>
          <w:rFonts w:ascii="Arial" w:eastAsia="Times New Roman" w:hAnsi="Arial" w:cs="Arial"/>
          <w:highlight w:val="yellow"/>
        </w:rPr>
        <w:t xml:space="preserve">2020 </w:t>
      </w:r>
      <w:r w:rsidRPr="00E039B2">
        <w:rPr>
          <w:rFonts w:ascii="Arial" w:eastAsia="Times New Roman" w:hAnsi="Arial" w:cs="Arial"/>
        </w:rPr>
        <w:t>were as follows:</w:t>
      </w:r>
    </w:p>
    <w:p w14:paraId="1FA55E70" w14:textId="77777777" w:rsidR="009B5086" w:rsidRPr="00E039B2" w:rsidRDefault="009B5086" w:rsidP="004A0566">
      <w:pPr>
        <w:spacing w:after="0" w:line="240" w:lineRule="auto"/>
        <w:ind w:left="720"/>
        <w:jc w:val="center"/>
        <w:rPr>
          <w:rFonts w:ascii="Arial" w:eastAsia="Times New Roman" w:hAnsi="Arial" w:cs="Arial"/>
          <w:b/>
          <w:smallCaps/>
        </w:rPr>
      </w:pPr>
      <w:bookmarkStart w:id="14" w:name="_MON_1188285277"/>
      <w:bookmarkStart w:id="15" w:name="_MON_1192364366"/>
      <w:bookmarkStart w:id="16" w:name="_MON_1220941528"/>
      <w:bookmarkStart w:id="17" w:name="_MON_1220941701"/>
      <w:bookmarkStart w:id="18" w:name="_MON_1302418682"/>
      <w:bookmarkStart w:id="19" w:name="_MON_1336992265"/>
      <w:bookmarkStart w:id="20" w:name="_MON_1337066584"/>
      <w:bookmarkStart w:id="21" w:name="_MON_1345448680"/>
      <w:bookmarkStart w:id="22" w:name="_MON_1359286513"/>
      <w:bookmarkStart w:id="23" w:name="_MON_1118933529"/>
      <w:bookmarkStart w:id="24" w:name="_MON_1119089011"/>
      <w:bookmarkStart w:id="25" w:name="_MON_1188219561"/>
      <w:bookmarkStart w:id="26" w:name="_MON_1188274037"/>
      <w:bookmarkStart w:id="27" w:name="_MON_1625053647"/>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039B2">
        <w:rPr>
          <w:rFonts w:ascii="Arial" w:eastAsia="Times New Roman" w:hAnsi="Arial" w:cs="Arial"/>
          <w:b/>
          <w:smallCaps/>
        </w:rPr>
        <w:t xml:space="preserve">   </w:t>
      </w:r>
      <w:bookmarkStart w:id="28" w:name="_MON_1188284473"/>
      <w:bookmarkEnd w:id="28"/>
      <w:r w:rsidRPr="00E039B2">
        <w:rPr>
          <w:rFonts w:ascii="Arial" w:eastAsia="Times New Roman" w:hAnsi="Arial" w:cs="Arial"/>
          <w:b/>
          <w:smallCaps/>
        </w:rPr>
        <w:object w:dxaOrig="7053" w:dyaOrig="4168" w14:anchorId="5D06E13E">
          <v:shape id="_x0000_i1033" type="#_x0000_t75" style="width:296.25pt;height:162pt" o:ole="">
            <v:imagedata r:id="rId28" o:title=""/>
          </v:shape>
          <o:OLEObject Type="Embed" ProgID="Excel.Sheet.8" ShapeID="_x0000_i1033" DrawAspect="Content" ObjectID="_1661757462" r:id="rId29"/>
        </w:object>
      </w:r>
    </w:p>
    <w:p w14:paraId="2624AB4E" w14:textId="77777777" w:rsidR="009B5086" w:rsidRPr="00E039B2" w:rsidRDefault="009B5086" w:rsidP="009B5086">
      <w:pPr>
        <w:spacing w:after="0" w:line="240" w:lineRule="auto"/>
        <w:ind w:firstLine="720"/>
        <w:jc w:val="center"/>
        <w:rPr>
          <w:rFonts w:ascii="Arial" w:eastAsia="Times New Roman" w:hAnsi="Arial" w:cs="Arial"/>
          <w:b/>
          <w:smallCaps/>
        </w:rPr>
      </w:pPr>
    </w:p>
    <w:p w14:paraId="67CCA726" w14:textId="77777777" w:rsidR="009B5086" w:rsidRPr="00E039B2" w:rsidRDefault="009B5086" w:rsidP="009B5086">
      <w:pPr>
        <w:spacing w:after="240" w:line="240" w:lineRule="auto"/>
        <w:ind w:left="1440"/>
        <w:jc w:val="both"/>
        <w:rPr>
          <w:rFonts w:ascii="Arial" w:eastAsia="Times New Roman" w:hAnsi="Arial" w:cs="Arial"/>
          <w:b/>
          <w:i/>
          <w:color w:val="000000"/>
        </w:rPr>
      </w:pPr>
      <w:r w:rsidRPr="00E039B2">
        <w:rPr>
          <w:rFonts w:ascii="Arial" w:eastAsia="Times New Roman" w:hAnsi="Arial" w:cs="Arial"/>
          <w:highlight w:val="yellow"/>
        </w:rPr>
        <w:t>Payables for the proprietary funds at June 30, 2020 were as follows:</w:t>
      </w:r>
    </w:p>
    <w:bookmarkStart w:id="29" w:name="_GoBack"/>
    <w:bookmarkEnd w:id="29"/>
    <w:p w14:paraId="66916F28" w14:textId="77777777" w:rsidR="009B5086" w:rsidRPr="00E039B2" w:rsidRDefault="009B5086" w:rsidP="004A0566">
      <w:pPr>
        <w:spacing w:after="240" w:line="240" w:lineRule="auto"/>
        <w:ind w:left="720"/>
        <w:jc w:val="center"/>
        <w:rPr>
          <w:rFonts w:ascii="Arial" w:eastAsia="Times New Roman" w:hAnsi="Arial" w:cs="Arial"/>
          <w:b/>
          <w:smallCaps/>
        </w:rPr>
      </w:pPr>
      <w:r w:rsidRPr="00E039B2">
        <w:rPr>
          <w:rFonts w:ascii="Arial" w:eastAsia="Times New Roman" w:hAnsi="Arial" w:cs="Arial"/>
          <w:b/>
          <w:smallCaps/>
        </w:rPr>
        <w:object w:dxaOrig="7053" w:dyaOrig="4449" w14:anchorId="6BFBE8DA">
          <v:shape id="_x0000_i1034" type="#_x0000_t75" style="width:296.25pt;height:172.5pt" o:ole="">
            <v:imagedata r:id="rId30" o:title=""/>
          </v:shape>
          <o:OLEObject Type="Embed" ProgID="Excel.Sheet.8" ShapeID="_x0000_i1034" DrawAspect="Content" ObjectID="_1661757463" r:id="rId31"/>
        </w:object>
      </w:r>
    </w:p>
    <w:p w14:paraId="74623C00" w14:textId="77777777" w:rsidR="009B5086" w:rsidRPr="00E039B2" w:rsidRDefault="009B5086" w:rsidP="009B5086">
      <w:pPr>
        <w:spacing w:after="240" w:line="240" w:lineRule="auto"/>
        <w:ind w:left="1440"/>
        <w:rPr>
          <w:rFonts w:ascii="Times New Roman" w:eastAsia="Times New Roman" w:hAnsi="Times New Roman" w:cs="Times New Roman"/>
          <w:b/>
          <w:i/>
          <w:color w:val="0000FF"/>
        </w:rPr>
      </w:pPr>
      <w:r w:rsidRPr="00E039B2">
        <w:rPr>
          <w:rFonts w:ascii="Arial" w:eastAsia="Times New Roman" w:hAnsi="Arial" w:cs="Arial"/>
          <w:b/>
          <w:i/>
          <w:color w:val="0000FF"/>
        </w:rPr>
        <w:t>[Add further descriptions as necessary]</w:t>
      </w:r>
    </w:p>
    <w:p w14:paraId="15C9C4AD" w14:textId="77777777" w:rsidR="001F7D9B" w:rsidRPr="00E039B2" w:rsidRDefault="001F7D9B" w:rsidP="001F7D9B">
      <w:pPr>
        <w:tabs>
          <w:tab w:val="left" w:pos="1080"/>
          <w:tab w:val="left" w:pos="1440"/>
        </w:tabs>
        <w:spacing w:before="480" w:after="240" w:line="240" w:lineRule="auto"/>
        <w:rPr>
          <w:rFonts w:ascii="Arial" w:eastAsia="Times New Roman" w:hAnsi="Arial" w:cs="Arial"/>
          <w:b/>
          <w:smallCaps/>
        </w:rPr>
      </w:pPr>
      <w:r w:rsidRPr="00E039B2">
        <w:rPr>
          <w:rFonts w:ascii="Arial" w:eastAsia="Times New Roman" w:hAnsi="Arial" w:cs="Arial"/>
          <w:b/>
          <w:smallCaps/>
        </w:rPr>
        <w:t>Note 8</w:t>
      </w:r>
      <w:r w:rsidRPr="00E039B2">
        <w:rPr>
          <w:rFonts w:ascii="Arial" w:eastAsia="Times New Roman" w:hAnsi="Arial" w:cs="Arial"/>
          <w:b/>
          <w:smallCaps/>
        </w:rPr>
        <w:tab/>
        <w:t>-</w:t>
      </w:r>
      <w:r w:rsidRPr="00E039B2">
        <w:rPr>
          <w:rFonts w:ascii="Arial" w:eastAsia="Times New Roman" w:hAnsi="Arial" w:cs="Arial"/>
          <w:b/>
          <w:smallCaps/>
        </w:rPr>
        <w:tab/>
        <w:t>Long</w:t>
      </w:r>
      <w:r w:rsidRPr="00E039B2">
        <w:rPr>
          <w:rFonts w:ascii="Arial" w:eastAsia="Times New Roman" w:hAnsi="Arial" w:cs="Arial"/>
          <w:smallCaps/>
        </w:rPr>
        <w:t>-</w:t>
      </w:r>
      <w:r w:rsidRPr="00E039B2">
        <w:rPr>
          <w:rFonts w:ascii="Arial" w:eastAsia="Times New Roman" w:hAnsi="Arial" w:cs="Arial"/>
          <w:b/>
          <w:smallCaps/>
        </w:rPr>
        <w:t>Term Liabilities</w:t>
      </w:r>
    </w:p>
    <w:p w14:paraId="788ADB37" w14:textId="77777777" w:rsidR="001F7D9B" w:rsidRPr="00E039B2" w:rsidRDefault="001F7D9B" w:rsidP="001F7D9B">
      <w:pPr>
        <w:tabs>
          <w:tab w:val="left" w:pos="1080"/>
        </w:tabs>
        <w:spacing w:after="240" w:line="240" w:lineRule="auto"/>
        <w:ind w:left="1440"/>
        <w:jc w:val="both"/>
        <w:rPr>
          <w:rFonts w:ascii="Arial" w:eastAsia="Times New Roman" w:hAnsi="Arial" w:cs="Arial"/>
          <w:b/>
          <w:i/>
          <w:color w:val="0000FF"/>
        </w:rPr>
      </w:pPr>
      <w:r w:rsidRPr="00E039B2">
        <w:rPr>
          <w:rFonts w:ascii="Arial Bold" w:eastAsia="Times New Roman" w:hAnsi="Arial Bold" w:cs="Arial"/>
          <w:b/>
        </w:rPr>
        <w:t>[XYZ] Fund</w:t>
      </w:r>
      <w:r w:rsidRPr="00E039B2">
        <w:rPr>
          <w:rFonts w:ascii="Arial" w:eastAsia="Times New Roman" w:hAnsi="Arial" w:cs="Arial"/>
          <w:b/>
          <w:smallCaps/>
        </w:rPr>
        <w:t xml:space="preserve"> </w:t>
      </w:r>
      <w:r w:rsidRPr="00E039B2">
        <w:rPr>
          <w:rFonts w:ascii="Arial" w:eastAsia="Times New Roman" w:hAnsi="Arial" w:cs="Arial"/>
          <w:b/>
          <w:i/>
          <w:color w:val="0000FF"/>
        </w:rPr>
        <w:t>[Note to Preparer: Complete a separate section for each major/significant fund OR distinguish funds within table below. Revise captions below as necessary. If the Department has discretely presented component units with material long</w:t>
      </w:r>
      <w:r w:rsidRPr="00E039B2">
        <w:rPr>
          <w:rFonts w:ascii="Arial" w:eastAsia="Times New Roman" w:hAnsi="Arial" w:cs="Arial"/>
          <w:b/>
          <w:i/>
          <w:color w:val="0000FF"/>
        </w:rPr>
        <w:noBreakHyphen/>
        <w:t>term liabilities include a component unit section.]</w:t>
      </w:r>
    </w:p>
    <w:p w14:paraId="0208B9EE" w14:textId="1C2322C5" w:rsidR="001F7D9B" w:rsidRPr="00E039B2" w:rsidRDefault="001F7D9B" w:rsidP="001F7D9B">
      <w:pPr>
        <w:numPr>
          <w:ilvl w:val="0"/>
          <w:numId w:val="28"/>
        </w:numPr>
        <w:spacing w:after="240" w:line="240" w:lineRule="auto"/>
        <w:contextualSpacing/>
        <w:jc w:val="both"/>
        <w:rPr>
          <w:rFonts w:ascii="Arial" w:eastAsia="Times New Roman" w:hAnsi="Arial" w:cs="Arial"/>
        </w:rPr>
      </w:pPr>
      <w:r w:rsidRPr="00E039B2">
        <w:rPr>
          <w:rFonts w:ascii="Arial" w:eastAsia="Times New Roman" w:hAnsi="Arial" w:cs="Arial"/>
          <w:b/>
          <w:bCs/>
        </w:rPr>
        <w:lastRenderedPageBreak/>
        <w:t>Changes in Long</w:t>
      </w:r>
      <w:r w:rsidRPr="00E039B2">
        <w:rPr>
          <w:rFonts w:ascii="Arial" w:eastAsia="Times New Roman" w:hAnsi="Arial" w:cs="Arial"/>
          <w:bCs/>
        </w:rPr>
        <w:t>-</w:t>
      </w:r>
      <w:r w:rsidRPr="00E039B2">
        <w:rPr>
          <w:rFonts w:ascii="Arial" w:eastAsia="Times New Roman" w:hAnsi="Arial" w:cs="Arial"/>
          <w:b/>
          <w:bCs/>
        </w:rPr>
        <w:t>Term Liabilities</w:t>
      </w:r>
      <w:r w:rsidRPr="00E039B2">
        <w:rPr>
          <w:rFonts w:ascii="Arial" w:eastAsia="Times New Roman" w:hAnsi="Arial" w:cs="Arial"/>
        </w:rPr>
        <w:t xml:space="preserve"> - A summary of changes in the long-term liabilities for the year ended June 30, </w:t>
      </w:r>
      <w:r w:rsidRPr="00E039B2">
        <w:rPr>
          <w:rFonts w:ascii="Arial" w:eastAsia="Times New Roman" w:hAnsi="Arial" w:cs="Arial"/>
          <w:highlight w:val="yellow"/>
        </w:rPr>
        <w:t>2020</w:t>
      </w:r>
      <w:r w:rsidRPr="00E039B2">
        <w:rPr>
          <w:rFonts w:ascii="Arial" w:eastAsia="Times New Roman" w:hAnsi="Arial" w:cs="Arial"/>
        </w:rPr>
        <w:t xml:space="preserve"> is presented as follows:</w:t>
      </w:r>
    </w:p>
    <w:bookmarkStart w:id="30" w:name="_MON_1220942459"/>
    <w:bookmarkEnd w:id="30"/>
    <w:p w14:paraId="23D19722" w14:textId="77777777" w:rsidR="001F7D9B" w:rsidRPr="00E039B2" w:rsidRDefault="001F7D9B" w:rsidP="001F7D9B">
      <w:pPr>
        <w:spacing w:after="240" w:line="240" w:lineRule="auto"/>
        <w:ind w:left="720"/>
        <w:jc w:val="center"/>
        <w:rPr>
          <w:rFonts w:ascii="Arial" w:eastAsia="Times New Roman" w:hAnsi="Arial" w:cs="Arial"/>
          <w:b/>
          <w:i/>
          <w:color w:val="0000FF"/>
        </w:rPr>
      </w:pPr>
      <w:r w:rsidRPr="00E039B2">
        <w:rPr>
          <w:rFonts w:ascii="Arial" w:eastAsia="Times New Roman" w:hAnsi="Arial" w:cs="Arial"/>
          <w:b/>
          <w:i/>
          <w:color w:val="0000FF"/>
        </w:rPr>
        <w:object w:dxaOrig="13654" w:dyaOrig="15290" w14:anchorId="18ED6EF7">
          <v:shape id="_x0000_i1035" type="#_x0000_t75" style="width:451.5pt;height:564.75pt" o:ole="">
            <v:imagedata r:id="rId32" o:title=""/>
            <o:lock v:ext="edit" aspectratio="f"/>
          </v:shape>
          <o:OLEObject Type="Embed" ProgID="Excel.Sheet.12" ShapeID="_x0000_i1035" DrawAspect="Content" ObjectID="_1661757464" r:id="rId33"/>
        </w:object>
      </w:r>
    </w:p>
    <w:p w14:paraId="3A9FCB9F" w14:textId="319FFC52" w:rsidR="001F7D9B" w:rsidRPr="00E039B2" w:rsidRDefault="001F7D9B" w:rsidP="001F7D9B">
      <w:pPr>
        <w:spacing w:after="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 xml:space="preserve">[Note to Preparer: Based on current legislation and the </w:t>
      </w:r>
      <w:r w:rsidRPr="00E039B2">
        <w:rPr>
          <w:rFonts w:ascii="Arial" w:eastAsia="Times New Roman" w:hAnsi="Arial" w:cs="Arial"/>
          <w:b/>
          <w:i/>
          <w:color w:val="0000FF"/>
          <w:highlight w:val="yellow"/>
        </w:rPr>
        <w:t xml:space="preserve">FY19 </w:t>
      </w:r>
      <w:r w:rsidRPr="00E039B2">
        <w:rPr>
          <w:rFonts w:ascii="Arial" w:eastAsia="Times New Roman" w:hAnsi="Arial" w:cs="Arial"/>
          <w:b/>
          <w:i/>
          <w:color w:val="0000FF"/>
        </w:rPr>
        <w:t xml:space="preserve">CAFR, there is no amount due within one year for the Department’s net pension liability or net OPEB liability during </w:t>
      </w:r>
      <w:r w:rsidRPr="00E039B2">
        <w:rPr>
          <w:rFonts w:ascii="Arial" w:eastAsia="Times New Roman" w:hAnsi="Arial" w:cs="Arial"/>
          <w:b/>
          <w:i/>
          <w:color w:val="0000FF"/>
          <w:highlight w:val="yellow"/>
        </w:rPr>
        <w:t>FY20</w:t>
      </w:r>
      <w:r w:rsidRPr="00E039B2">
        <w:rPr>
          <w:rFonts w:ascii="Arial" w:eastAsia="Times New Roman" w:hAnsi="Arial" w:cs="Arial"/>
          <w:b/>
          <w:i/>
          <w:color w:val="0000FF"/>
        </w:rPr>
        <w:t>.]</w:t>
      </w:r>
    </w:p>
    <w:p w14:paraId="16CE03DB" w14:textId="77777777" w:rsidR="00DB4AE8" w:rsidRPr="00E039B2" w:rsidRDefault="00DB4AE8" w:rsidP="001F7D9B">
      <w:pPr>
        <w:spacing w:after="0" w:line="240" w:lineRule="auto"/>
        <w:ind w:left="1915"/>
        <w:jc w:val="both"/>
        <w:rPr>
          <w:rFonts w:ascii="Arial" w:eastAsia="Times New Roman" w:hAnsi="Arial" w:cs="Arial"/>
          <w:b/>
          <w:i/>
          <w:color w:val="0000FF"/>
        </w:rPr>
      </w:pPr>
    </w:p>
    <w:p w14:paraId="1F535C32" w14:textId="77777777" w:rsidR="001F7D9B" w:rsidRPr="00E039B2" w:rsidRDefault="001F7D9B" w:rsidP="001F7D9B">
      <w:pPr>
        <w:numPr>
          <w:ilvl w:val="0"/>
          <w:numId w:val="28"/>
        </w:numPr>
        <w:tabs>
          <w:tab w:val="left" w:pos="1560"/>
        </w:tabs>
        <w:spacing w:before="360" w:after="240" w:line="240" w:lineRule="auto"/>
        <w:contextualSpacing/>
        <w:jc w:val="both"/>
        <w:rPr>
          <w:rFonts w:ascii="Arial" w:eastAsia="Times New Roman" w:hAnsi="Arial" w:cs="Arial"/>
          <w:b/>
          <w:i/>
          <w:color w:val="0000FF"/>
        </w:rPr>
      </w:pPr>
      <w:r w:rsidRPr="00E039B2">
        <w:rPr>
          <w:rFonts w:ascii="Arial" w:eastAsia="Times New Roman" w:hAnsi="Arial" w:cs="Arial"/>
          <w:b/>
        </w:rPr>
        <w:t xml:space="preserve">Revenue Bonds Payable, Special Indebtedness, and </w:t>
      </w:r>
      <w:r w:rsidRPr="00E039B2">
        <w:rPr>
          <w:rFonts w:ascii="Arial" w:eastAsia="Times New Roman" w:hAnsi="Arial" w:cs="Arial"/>
          <w:b/>
          <w:highlight w:val="yellow"/>
        </w:rPr>
        <w:t>Bonds/</w:t>
      </w:r>
      <w:r w:rsidRPr="00E039B2">
        <w:rPr>
          <w:rFonts w:ascii="Arial" w:eastAsia="Times New Roman" w:hAnsi="Arial" w:cs="Arial"/>
          <w:b/>
        </w:rPr>
        <w:t xml:space="preserve">Notes from Direct Placements </w:t>
      </w:r>
      <w:r w:rsidRPr="00E039B2">
        <w:rPr>
          <w:rFonts w:ascii="Arial" w:eastAsia="Times New Roman" w:hAnsi="Arial" w:cs="Arial"/>
          <w:b/>
          <w:i/>
          <w:color w:val="0000FF"/>
        </w:rPr>
        <w:t>[Modify title as necessary]</w:t>
      </w:r>
      <w:r w:rsidRPr="00E039B2">
        <w:rPr>
          <w:rFonts w:ascii="Arial" w:eastAsia="Times New Roman" w:hAnsi="Arial" w:cs="Arial"/>
          <w:b/>
        </w:rPr>
        <w:t xml:space="preserve">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The Department was indebted for </w:t>
      </w:r>
      <w:r w:rsidRPr="00E039B2">
        <w:rPr>
          <w:rFonts w:ascii="Arial" w:eastAsia="Times New Roman" w:hAnsi="Arial" w:cs="Arial"/>
          <w:color w:val="0000FF"/>
        </w:rPr>
        <w:t xml:space="preserve">[revenue bonds payable, special indebtedness (which includes Certificates of Participation and Limited Obligation Bonds), and </w:t>
      </w:r>
      <w:r w:rsidRPr="00E039B2">
        <w:rPr>
          <w:rFonts w:ascii="Arial" w:eastAsia="Times New Roman" w:hAnsi="Arial" w:cs="Arial"/>
          <w:color w:val="0000FF"/>
          <w:highlight w:val="yellow"/>
        </w:rPr>
        <w:t>bonds</w:t>
      </w:r>
      <w:r w:rsidRPr="00E039B2">
        <w:rPr>
          <w:rFonts w:ascii="Arial" w:eastAsia="Times New Roman" w:hAnsi="Arial" w:cs="Arial"/>
          <w:color w:val="0000FF"/>
        </w:rPr>
        <w:t>/notes from direct placements]</w:t>
      </w:r>
      <w:r w:rsidRPr="00E039B2">
        <w:rPr>
          <w:rFonts w:ascii="Arial" w:eastAsia="Times New Roman" w:hAnsi="Arial" w:cs="Arial"/>
        </w:rPr>
        <w:t xml:space="preserve"> for the purposes shown in the following table: </w:t>
      </w:r>
      <w:r w:rsidRPr="00E039B2">
        <w:rPr>
          <w:rFonts w:ascii="Arial" w:eastAsia="Times New Roman" w:hAnsi="Arial" w:cs="Arial"/>
          <w:b/>
          <w:i/>
          <w:color w:val="0000FF"/>
        </w:rPr>
        <w:t>[Note to preparer: For bonds with interest rate swaps, the synthetic rate should be disclosed below as the interest rate and it should have an asterisk next to it per the note to the financial statement reader at the bottom of the table, identifying it as the synthetic rate. For bonds with installments where each has a different rate (hence a range of interest rates must be disclosed) only include interest rates that will be paid in the future (end of the fiscal year forward) (for example, do not include rates for installments that have already been paid.)]</w:t>
      </w:r>
    </w:p>
    <w:bookmarkStart w:id="31" w:name="_MON_1302420035"/>
    <w:bookmarkEnd w:id="31"/>
    <w:p w14:paraId="5C049DF0" w14:textId="63D2E323" w:rsidR="001F7D9B" w:rsidRPr="00E039B2" w:rsidRDefault="00CB6ED0" w:rsidP="004A0566">
      <w:pPr>
        <w:tabs>
          <w:tab w:val="left" w:pos="1560"/>
        </w:tabs>
        <w:spacing w:before="360" w:after="240" w:line="240" w:lineRule="auto"/>
        <w:ind w:left="720"/>
        <w:jc w:val="both"/>
        <w:rPr>
          <w:rFonts w:ascii="Arial" w:eastAsia="Times New Roman" w:hAnsi="Arial" w:cs="Arial"/>
        </w:rPr>
      </w:pPr>
      <w:r w:rsidRPr="00E039B2">
        <w:rPr>
          <w:rFonts w:ascii="Arial" w:eastAsia="Times New Roman" w:hAnsi="Arial" w:cs="Arial"/>
        </w:rPr>
        <w:object w:dxaOrig="11880" w:dyaOrig="8445" w14:anchorId="67C6A915">
          <v:shape id="_x0000_i1214" type="#_x0000_t75" style="width:419.25pt;height:309pt" o:ole="">
            <v:imagedata r:id="rId34" o:title=""/>
          </v:shape>
          <o:OLEObject Type="Embed" ProgID="Excel.Sheet.12" ShapeID="_x0000_i1214" DrawAspect="Content" ObjectID="_1661757465" r:id="rId35"/>
        </w:object>
      </w:r>
    </w:p>
    <w:p w14:paraId="382BEDBC" w14:textId="269F085A" w:rsidR="001F7D9B" w:rsidRPr="00E039B2" w:rsidRDefault="001F7D9B" w:rsidP="001F7D9B">
      <w:pPr>
        <w:spacing w:after="240" w:line="240" w:lineRule="auto"/>
        <w:ind w:left="1915"/>
        <w:jc w:val="both"/>
        <w:rPr>
          <w:rFonts w:ascii="Arial" w:eastAsia="Times New Roman" w:hAnsi="Arial" w:cs="Arial"/>
          <w:b/>
          <w:i/>
          <w:color w:val="0000FF"/>
        </w:rPr>
      </w:pPr>
      <w:bookmarkStart w:id="32" w:name="_Hlk51137563"/>
      <w:r w:rsidRPr="00E039B2">
        <w:rPr>
          <w:rFonts w:ascii="Arial" w:eastAsia="Times New Roman" w:hAnsi="Arial" w:cs="Arial"/>
          <w:bCs/>
          <w:iCs/>
          <w:color w:val="000000"/>
        </w:rPr>
        <w:t xml:space="preserve">The Department has pledged future revenues, net of specific operating expenses, to repay revenue bonds, special indebtedness, and </w:t>
      </w:r>
      <w:r w:rsidRPr="00E039B2">
        <w:rPr>
          <w:rFonts w:ascii="Arial" w:eastAsia="Times New Roman" w:hAnsi="Arial" w:cs="Arial"/>
          <w:bCs/>
          <w:iCs/>
          <w:color w:val="000000"/>
          <w:highlight w:val="yellow"/>
        </w:rPr>
        <w:t>bonds/</w:t>
      </w:r>
      <w:r w:rsidRPr="00E039B2">
        <w:rPr>
          <w:rFonts w:ascii="Arial" w:eastAsia="Times New Roman" w:hAnsi="Arial" w:cs="Arial"/>
          <w:bCs/>
          <w:iCs/>
          <w:color w:val="000000"/>
        </w:rPr>
        <w:t>notes from direct placements as shown in the table below:</w:t>
      </w:r>
      <w:r w:rsidRPr="00E039B2">
        <w:rPr>
          <w:rFonts w:ascii="Arial" w:eastAsia="Times New Roman" w:hAnsi="Arial" w:cs="Arial"/>
          <w:b/>
          <w:bCs/>
          <w:i/>
          <w:iCs/>
          <w:color w:val="0000FF"/>
        </w:rPr>
        <w:t xml:space="preserve"> [Modify if no special indebtedness or direct placements. Note 1 to preparer: If single revenue stream is pledged for multiple issuances, may combine disclosure. Note 2 to preparer: GASB 48 requires disclosure of percent of future revenues pledged, if estimable. A possible source of the estimate of future revenues is the official statement which may include an estimate of future revenues over the life of the debt. Note </w:t>
      </w:r>
      <w:r w:rsidRPr="00E039B2">
        <w:rPr>
          <w:rFonts w:ascii="Arial" w:eastAsia="Times New Roman" w:hAnsi="Arial" w:cs="Arial"/>
          <w:b/>
          <w:bCs/>
          <w:i/>
          <w:iCs/>
          <w:color w:val="0000FF"/>
        </w:rPr>
        <w:lastRenderedPageBreak/>
        <w:t>3 to preparer: Evaluate Federal Interest Subsidy on Debt revenue to determine if it should be included in the following table</w:t>
      </w:r>
      <w:r w:rsidRPr="00E039B2">
        <w:rPr>
          <w:rFonts w:ascii="Arial" w:eastAsia="Times New Roman" w:hAnsi="Arial" w:cs="Arial"/>
          <w:b/>
          <w:i/>
          <w:color w:val="0000FF"/>
        </w:rPr>
        <w:t>.]</w:t>
      </w:r>
    </w:p>
    <w:bookmarkEnd w:id="32"/>
    <w:bookmarkStart w:id="33" w:name="_MON_1375273775"/>
    <w:bookmarkEnd w:id="33"/>
    <w:p w14:paraId="084C0E35" w14:textId="0266EF09" w:rsidR="001F7D9B" w:rsidRPr="00E039B2" w:rsidRDefault="00B32A01" w:rsidP="004A0566">
      <w:pPr>
        <w:spacing w:after="240" w:line="240" w:lineRule="auto"/>
        <w:ind w:left="720"/>
        <w:jc w:val="center"/>
        <w:rPr>
          <w:rFonts w:ascii="Arial" w:eastAsia="Times New Roman" w:hAnsi="Arial" w:cs="Arial"/>
        </w:rPr>
      </w:pPr>
      <w:r w:rsidRPr="00E039B2">
        <w:rPr>
          <w:rFonts w:ascii="Arial" w:eastAsia="Times New Roman" w:hAnsi="Arial" w:cs="Arial"/>
        </w:rPr>
        <w:object w:dxaOrig="12303" w:dyaOrig="1171" w14:anchorId="4B51830A">
          <v:shape id="_x0000_i1208" type="#_x0000_t75" style="width:436.5pt;height:43.5pt" o:ole="">
            <v:imagedata r:id="rId36" o:title=""/>
          </v:shape>
          <o:OLEObject Type="Embed" ProgID="Excel.Sheet.8" ShapeID="_x0000_i1208" DrawAspect="Content" ObjectID="_1661757466" r:id="rId37"/>
        </w:object>
      </w:r>
    </w:p>
    <w:p w14:paraId="68C9B09D" w14:textId="77777777" w:rsidR="001F7D9B" w:rsidRPr="00E039B2" w:rsidRDefault="001F7D9B" w:rsidP="001F7D9B">
      <w:pPr>
        <w:spacing w:before="120"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highlight w:val="yellow"/>
        </w:rPr>
        <w:t>[If the Department has any outstanding demand bonds at year</w:t>
      </w:r>
      <w:r w:rsidRPr="00E039B2">
        <w:rPr>
          <w:rFonts w:ascii="Arial" w:eastAsia="Times New Roman" w:hAnsi="Arial" w:cs="Arial"/>
          <w:b/>
          <w:i/>
          <w:color w:val="0000FF"/>
          <w:highlight w:val="yellow"/>
        </w:rPr>
        <w:noBreakHyphen/>
        <w:t>end, provide information required by GASB. The following are examples of this disclosure.]</w:t>
      </w:r>
      <w:r w:rsidRPr="00E039B2">
        <w:rPr>
          <w:rFonts w:ascii="Arial" w:eastAsia="Times New Roman" w:hAnsi="Arial" w:cs="Arial"/>
          <w:b/>
          <w:i/>
          <w:color w:val="0000FF"/>
          <w:highlight w:val="green"/>
        </w:rPr>
        <w:t xml:space="preserve">  </w:t>
      </w:r>
    </w:p>
    <w:p w14:paraId="1C895B11" w14:textId="2D42B304" w:rsidR="001F7D9B" w:rsidRPr="00E039B2" w:rsidRDefault="001F7D9B" w:rsidP="001F7D9B">
      <w:pPr>
        <w:numPr>
          <w:ilvl w:val="0"/>
          <w:numId w:val="28"/>
        </w:numPr>
        <w:tabs>
          <w:tab w:val="left" w:pos="1560"/>
        </w:tabs>
        <w:spacing w:after="240" w:line="240" w:lineRule="auto"/>
        <w:contextualSpacing/>
        <w:jc w:val="both"/>
        <w:rPr>
          <w:rFonts w:ascii="Arial" w:eastAsia="Times New Roman" w:hAnsi="Arial" w:cs="Arial"/>
        </w:rPr>
      </w:pPr>
      <w:r w:rsidRPr="00E039B2">
        <w:rPr>
          <w:rFonts w:ascii="Arial" w:eastAsia="Times New Roman" w:hAnsi="Arial" w:cs="Arial"/>
          <w:b/>
        </w:rPr>
        <w:t xml:space="preserve">Notes from Direct Borrowings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The Department was indebted for notes from direct borrowings for the purpose</w:t>
      </w:r>
      <w:r w:rsidRPr="00E039B2">
        <w:rPr>
          <w:rFonts w:ascii="Arial" w:eastAsia="Times New Roman" w:hAnsi="Arial" w:cs="Arial"/>
          <w:b/>
          <w:color w:val="0000FF"/>
          <w:highlight w:val="yellow"/>
        </w:rPr>
        <w:t>(s)</w:t>
      </w:r>
      <w:r w:rsidRPr="00E039B2">
        <w:rPr>
          <w:rFonts w:ascii="Arial" w:eastAsia="Times New Roman" w:hAnsi="Arial" w:cs="Arial"/>
          <w:color w:val="0000FF"/>
        </w:rPr>
        <w:t xml:space="preserve"> </w:t>
      </w:r>
      <w:r w:rsidRPr="00E039B2">
        <w:rPr>
          <w:rFonts w:ascii="Arial" w:eastAsia="Times New Roman" w:hAnsi="Arial" w:cs="Arial"/>
        </w:rPr>
        <w:t>shown in the following table:</w:t>
      </w:r>
    </w:p>
    <w:p w14:paraId="72DA5C8B" w14:textId="77777777" w:rsidR="004A0566" w:rsidRPr="00E039B2" w:rsidRDefault="004A0566" w:rsidP="004A0566">
      <w:pPr>
        <w:tabs>
          <w:tab w:val="left" w:pos="1560"/>
        </w:tabs>
        <w:spacing w:after="240" w:line="240" w:lineRule="auto"/>
        <w:ind w:left="1920"/>
        <w:contextualSpacing/>
        <w:jc w:val="both"/>
        <w:rPr>
          <w:rFonts w:ascii="Arial" w:eastAsia="Times New Roman" w:hAnsi="Arial" w:cs="Arial"/>
        </w:rPr>
      </w:pPr>
    </w:p>
    <w:bookmarkStart w:id="34" w:name="_MON_1661756527"/>
    <w:bookmarkEnd w:id="34"/>
    <w:p w14:paraId="5C776175" w14:textId="723CBF4A" w:rsidR="001F7D9B" w:rsidRPr="00E039B2" w:rsidRDefault="00B32A01" w:rsidP="00B32A01">
      <w:pPr>
        <w:spacing w:after="240" w:line="240" w:lineRule="auto"/>
        <w:ind w:left="1440"/>
        <w:jc w:val="center"/>
        <w:rPr>
          <w:rFonts w:ascii="Arial" w:eastAsia="Times New Roman" w:hAnsi="Arial" w:cs="Arial"/>
        </w:rPr>
      </w:pPr>
      <w:r w:rsidRPr="00E039B2">
        <w:rPr>
          <w:rFonts w:ascii="Arial" w:eastAsia="Times New Roman" w:hAnsi="Arial" w:cs="Arial"/>
        </w:rPr>
        <w:object w:dxaOrig="9553" w:dyaOrig="3031" w14:anchorId="111CEC81">
          <v:shape id="_x0000_i1190" type="#_x0000_t75" style="width:379.5pt;height:133.5pt" o:ole="">
            <v:imagedata r:id="rId38" o:title=""/>
          </v:shape>
          <o:OLEObject Type="Embed" ProgID="Excel.Sheet.12" ShapeID="_x0000_i1190" DrawAspect="Content" ObjectID="_1661757467" r:id="rId39"/>
        </w:object>
      </w:r>
    </w:p>
    <w:p w14:paraId="6AE2ADE0"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The Department plans to refinance the notes maturing on </w:t>
      </w:r>
      <w:r w:rsidRPr="00E039B2">
        <w:rPr>
          <w:rFonts w:ascii="Arial" w:eastAsia="Times New Roman" w:hAnsi="Arial" w:cs="Arial"/>
          <w:b/>
          <w:color w:val="0000FF"/>
        </w:rPr>
        <w:t>[date]</w:t>
      </w:r>
      <w:r w:rsidRPr="00E039B2">
        <w:rPr>
          <w:rFonts w:ascii="Arial" w:eastAsia="Times New Roman" w:hAnsi="Arial" w:cs="Arial"/>
        </w:rPr>
        <w:t xml:space="preserve"> with other long-term financing.</w:t>
      </w:r>
    </w:p>
    <w:p w14:paraId="15356B8E" w14:textId="77777777" w:rsidR="001F7D9B" w:rsidRPr="00E039B2" w:rsidRDefault="001F7D9B" w:rsidP="001F7D9B">
      <w:pPr>
        <w:spacing w:before="240"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[Report any long-term liabilities representing the Department’s obligation to make payments under a Licensing Agreement (for commercially available software acquired through a licensing agreement requiring multi-year payments) in the above Notes Payable table.]</w:t>
      </w:r>
    </w:p>
    <w:p w14:paraId="3D6BDFC2" w14:textId="0751A595" w:rsidR="001F7D9B" w:rsidRPr="00E039B2" w:rsidRDefault="001F7D9B" w:rsidP="001F7D9B">
      <w:pPr>
        <w:numPr>
          <w:ilvl w:val="0"/>
          <w:numId w:val="28"/>
        </w:numPr>
        <w:tabs>
          <w:tab w:val="left" w:pos="1560"/>
        </w:tabs>
        <w:spacing w:after="240" w:line="240" w:lineRule="auto"/>
        <w:contextualSpacing/>
        <w:jc w:val="both"/>
        <w:rPr>
          <w:rFonts w:ascii="Arial" w:eastAsia="Times New Roman" w:hAnsi="Arial" w:cs="Arial"/>
          <w:color w:val="000000"/>
        </w:rPr>
      </w:pPr>
      <w:r w:rsidRPr="00E039B2">
        <w:rPr>
          <w:rFonts w:ascii="Arial" w:eastAsia="Times New Roman" w:hAnsi="Arial" w:cs="Arial"/>
          <w:b/>
        </w:rPr>
        <w:t>Annual Requirements</w:t>
      </w:r>
      <w:r w:rsidRPr="00E039B2">
        <w:rPr>
          <w:rFonts w:ascii="Arial" w:eastAsia="Times New Roman" w:hAnsi="Arial" w:cs="Arial"/>
        </w:rPr>
        <w:t xml:space="preserve"> - The annual requirements to pay principal and interest on the long-term obligations at June 30, </w:t>
      </w:r>
      <w:r w:rsidRPr="00E039B2">
        <w:rPr>
          <w:rFonts w:ascii="Arial" w:eastAsia="Times New Roman" w:hAnsi="Arial" w:cs="Arial"/>
          <w:highlight w:val="yellow"/>
        </w:rPr>
        <w:t>2020</w:t>
      </w:r>
      <w:r w:rsidRPr="00E039B2">
        <w:rPr>
          <w:rFonts w:ascii="Arial" w:eastAsia="Times New Roman" w:hAnsi="Arial" w:cs="Arial"/>
        </w:rPr>
        <w:t>, are as follows:</w:t>
      </w:r>
    </w:p>
    <w:bookmarkStart w:id="35" w:name="_MON_1211803382"/>
    <w:bookmarkEnd w:id="35"/>
    <w:p w14:paraId="6E73DFA7" w14:textId="77777777" w:rsidR="001F7D9B" w:rsidRPr="00E039B2" w:rsidRDefault="001F7D9B" w:rsidP="001F7D9B">
      <w:pPr>
        <w:spacing w:after="240" w:line="240" w:lineRule="auto"/>
        <w:ind w:left="-1080" w:right="-1555"/>
        <w:jc w:val="center"/>
        <w:rPr>
          <w:rFonts w:ascii="Arial" w:eastAsia="Times New Roman" w:hAnsi="Arial" w:cs="Arial"/>
        </w:rPr>
      </w:pPr>
      <w:r w:rsidRPr="00E039B2">
        <w:rPr>
          <w:rFonts w:ascii="Arial" w:eastAsia="Times New Roman" w:hAnsi="Arial" w:cs="Arial"/>
        </w:rPr>
        <w:object w:dxaOrig="13674" w:dyaOrig="5756" w14:anchorId="1DA9CA7C">
          <v:shape id="_x0000_i1039" type="#_x0000_t75" style="width:513.75pt;height:240.75pt" o:ole="">
            <v:imagedata r:id="rId40" o:title=""/>
            <o:lock v:ext="edit" aspectratio="f"/>
          </v:shape>
          <o:OLEObject Type="Embed" ProgID="Excel.Sheet.12" ShapeID="_x0000_i1039" DrawAspect="Content" ObjectID="_1661757468" r:id="rId41"/>
        </w:object>
      </w:r>
    </w:p>
    <w:p w14:paraId="6E580320" w14:textId="77777777" w:rsidR="001F7D9B" w:rsidRPr="00E039B2" w:rsidRDefault="001F7D9B" w:rsidP="001F7D9B">
      <w:pPr>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[If the Department refunded any bonds or had balances in escrow accounts from prior year refunds provide information required by GASB 7 paragraphs 11-14. The following are examples of this disclosure.]</w:t>
      </w:r>
    </w:p>
    <w:p w14:paraId="417CCD66" w14:textId="250FBD3B" w:rsidR="001F7D9B" w:rsidRPr="00E039B2" w:rsidRDefault="001F7D9B" w:rsidP="001F7D9B">
      <w:pPr>
        <w:tabs>
          <w:tab w:val="left" w:pos="1560"/>
        </w:tabs>
        <w:spacing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E.</w:t>
      </w:r>
      <w:r w:rsidRPr="00E039B2">
        <w:rPr>
          <w:rFonts w:ascii="Arial" w:eastAsia="Times New Roman" w:hAnsi="Arial" w:cs="Arial"/>
          <w:b/>
        </w:rPr>
        <w:tab/>
        <w:t>Debt Authorized but Unissued</w:t>
      </w:r>
      <w:r w:rsidRPr="00E039B2">
        <w:rPr>
          <w:rFonts w:ascii="Arial" w:eastAsia="Times New Roman" w:hAnsi="Arial" w:cs="Arial"/>
        </w:rPr>
        <w:t xml:space="preserve"> - At June 30, </w:t>
      </w:r>
      <w:r w:rsidRPr="00E039B2">
        <w:rPr>
          <w:rFonts w:ascii="Arial" w:eastAsia="Times New Roman" w:hAnsi="Arial" w:cs="Arial"/>
          <w:highlight w:val="yellow"/>
        </w:rPr>
        <w:t>2020</w:t>
      </w:r>
      <w:r w:rsidRPr="00E039B2">
        <w:rPr>
          <w:rFonts w:ascii="Arial" w:eastAsia="Times New Roman" w:hAnsi="Arial" w:cs="Arial"/>
        </w:rPr>
        <w:t xml:space="preserve">, the Department had $________ in authorized but unissued revenue bonds. </w:t>
      </w:r>
      <w:r w:rsidRPr="00E039B2">
        <w:rPr>
          <w:rFonts w:ascii="Arial" w:eastAsia="Times New Roman" w:hAnsi="Arial" w:cs="Arial"/>
          <w:b/>
          <w:i/>
          <w:color w:val="0000FF"/>
        </w:rPr>
        <w:t>[Modify as necessary.] [Note: If the authorized debt is issued at any point after the end of the fiscal year and disclosed as a subsequent event, remove this paragraph from the note.]</w:t>
      </w:r>
    </w:p>
    <w:p w14:paraId="6BE095BF" w14:textId="77777777" w:rsidR="001F7D9B" w:rsidRPr="00E039B2" w:rsidRDefault="001F7D9B" w:rsidP="001F7D9B">
      <w:pPr>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[If the Department has any outstanding demand bonds at year</w:t>
      </w:r>
      <w:r w:rsidRPr="00E039B2">
        <w:rPr>
          <w:rFonts w:ascii="Arial" w:eastAsia="Times New Roman" w:hAnsi="Arial" w:cs="Arial"/>
          <w:b/>
          <w:i/>
          <w:color w:val="0000FF"/>
        </w:rPr>
        <w:noBreakHyphen/>
        <w:t>end, provide information required by GASB. The following are examples of this disclosure.]</w:t>
      </w:r>
    </w:p>
    <w:p w14:paraId="21DDBC78" w14:textId="77777777" w:rsidR="001F7D9B" w:rsidRPr="00E039B2" w:rsidRDefault="001F7D9B" w:rsidP="001F7D9B">
      <w:pPr>
        <w:tabs>
          <w:tab w:val="left" w:pos="1560"/>
        </w:tabs>
        <w:spacing w:after="240" w:line="240" w:lineRule="auto"/>
        <w:ind w:left="1915" w:hanging="475"/>
        <w:jc w:val="both"/>
        <w:rPr>
          <w:rFonts w:ascii="Arial" w:eastAsia="Times New Roman" w:hAnsi="Arial" w:cs="Arial"/>
          <w:b/>
          <w:i/>
        </w:rPr>
      </w:pPr>
      <w:r w:rsidRPr="00E039B2">
        <w:rPr>
          <w:rFonts w:ascii="Arial" w:eastAsia="Times New Roman" w:hAnsi="Arial" w:cs="Arial"/>
          <w:b/>
        </w:rPr>
        <w:t>F.</w:t>
      </w:r>
      <w:r w:rsidRPr="00E039B2">
        <w:rPr>
          <w:rFonts w:ascii="Arial" w:eastAsia="Times New Roman" w:hAnsi="Arial" w:cs="Arial"/>
          <w:b/>
        </w:rPr>
        <w:tab/>
        <w:t xml:space="preserve">Demand Bonds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Included in bonds payable are several variable rate demand bond issues. Demand bonds are securities that contain a “put” feature that allows bondholders to demand payment before the maturity of the debt upon proper notice to the Department’s remarketing or paying agents.</w:t>
      </w:r>
    </w:p>
    <w:p w14:paraId="529419A4" w14:textId="77777777" w:rsidR="001F7D9B" w:rsidRPr="00E039B2" w:rsidRDefault="001F7D9B" w:rsidP="001F7D9B">
      <w:pPr>
        <w:spacing w:after="240" w:line="240" w:lineRule="auto"/>
        <w:ind w:left="1915"/>
        <w:jc w:val="both"/>
        <w:rPr>
          <w:rFonts w:ascii="Arial" w:eastAsia="Times New Roman" w:hAnsi="Arial" w:cs="Arial"/>
          <w:b/>
          <w:bCs/>
          <w:i/>
          <w:iCs/>
          <w:color w:val="0000FF"/>
        </w:rPr>
      </w:pPr>
      <w:r w:rsidRPr="00E039B2">
        <w:rPr>
          <w:rFonts w:ascii="Arial" w:eastAsia="Times New Roman" w:hAnsi="Arial" w:cs="Arial"/>
          <w:b/>
          <w:bCs/>
          <w:i/>
          <w:iCs/>
          <w:color w:val="0000FF"/>
        </w:rPr>
        <w:t xml:space="preserve">[For each demand bond disclose the following </w:t>
      </w:r>
      <w:r w:rsidRPr="00E039B2">
        <w:rPr>
          <w:rFonts w:ascii="Arial" w:eastAsia="Times New Roman" w:hAnsi="Arial" w:cs="Arial"/>
          <w:b/>
          <w:bCs/>
          <w:i/>
          <w:iCs/>
          <w:color w:val="0000FF"/>
          <w:highlight w:val="yellow"/>
        </w:rPr>
        <w:t>per GASB Interpretation</w:t>
      </w:r>
      <w:r w:rsidRPr="00E039B2">
        <w:rPr>
          <w:rFonts w:ascii="Arial" w:eastAsia="Times New Roman" w:hAnsi="Arial" w:cs="Arial"/>
          <w:b/>
          <w:bCs/>
          <w:i/>
          <w:iCs/>
          <w:color w:val="0000FF"/>
        </w:rPr>
        <w:t xml:space="preserve"> 1: a general description of each demand bond, the terms of letters of credit or other standby liquidity agreements outstanding, associated commitment fees of the letters of credit, amounts drawn on the letters of credit or other standby liquidity agreements at year end, a description of any take out agreement including expiration dates and commitment fees, the terms of obligations under the take out agreement, and the debt service requirements that would result from the take out agreement, if exercised.]</w:t>
      </w:r>
    </w:p>
    <w:p w14:paraId="16A87E73"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lastRenderedPageBreak/>
        <w:t>With regards to the following demand bonds, the Department has not entered into legal agreements, which would convert the demand bonds not successfully remarketed into another form of long-term debt.</w:t>
      </w:r>
    </w:p>
    <w:p w14:paraId="5907BB65"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b/>
          <w:u w:val="single"/>
        </w:rPr>
        <w:t>(Title of Bond Issue)</w:t>
      </w:r>
      <w:r w:rsidRPr="00E039B2">
        <w:rPr>
          <w:rFonts w:ascii="Arial" w:eastAsia="Times New Roman" w:hAnsi="Arial" w:cs="Arial"/>
        </w:rPr>
        <w:t>: In 19</w:t>
      </w:r>
      <w:r w:rsidRPr="00E039B2">
        <w:rPr>
          <w:rFonts w:ascii="Arial" w:eastAsia="Times New Roman" w:hAnsi="Arial" w:cs="Arial"/>
          <w:b/>
          <w:color w:val="0000FF"/>
        </w:rPr>
        <w:t>XX</w:t>
      </w:r>
      <w:r w:rsidRPr="00E039B2">
        <w:rPr>
          <w:rFonts w:ascii="Arial" w:eastAsia="Times New Roman" w:hAnsi="Arial" w:cs="Arial"/>
        </w:rPr>
        <w:t xml:space="preserve"> the Department issued </w:t>
      </w:r>
      <w:r w:rsidRPr="00E039B2">
        <w:rPr>
          <w:rFonts w:ascii="Arial" w:eastAsia="Times New Roman" w:hAnsi="Arial" w:cs="Arial"/>
          <w:b/>
          <w:color w:val="0000FF"/>
        </w:rPr>
        <w:t>[variable rate]</w:t>
      </w:r>
      <w:r w:rsidRPr="00E039B2">
        <w:rPr>
          <w:rFonts w:ascii="Arial" w:eastAsia="Times New Roman" w:hAnsi="Arial" w:cs="Arial"/>
        </w:rPr>
        <w:t xml:space="preserve"> demand bonds in the amount of $________ that have a final maturity date of __________, 20</w:t>
      </w:r>
      <w:r w:rsidRPr="00E039B2">
        <w:rPr>
          <w:rFonts w:ascii="Arial" w:eastAsia="Times New Roman" w:hAnsi="Arial" w:cs="Arial"/>
          <w:b/>
          <w:color w:val="0000FF"/>
        </w:rPr>
        <w:t>XX</w:t>
      </w:r>
      <w:r w:rsidRPr="00E039B2">
        <w:rPr>
          <w:rFonts w:ascii="Arial" w:eastAsia="Times New Roman" w:hAnsi="Arial" w:cs="Arial"/>
        </w:rPr>
        <w:t>. The bonds are subject to mandatory sinking fund redemption that begins on _________, 20</w:t>
      </w:r>
      <w:r w:rsidRPr="00E039B2">
        <w:rPr>
          <w:rFonts w:ascii="Arial" w:eastAsia="Times New Roman" w:hAnsi="Arial" w:cs="Arial"/>
          <w:b/>
          <w:color w:val="0000FF"/>
        </w:rPr>
        <w:t>XX</w:t>
      </w:r>
      <w:r w:rsidRPr="00E039B2">
        <w:rPr>
          <w:rFonts w:ascii="Arial" w:eastAsia="Times New Roman" w:hAnsi="Arial" w:cs="Arial"/>
        </w:rPr>
        <w:t xml:space="preserve">. The proceeds of this issuance were used for </w:t>
      </w:r>
      <w:r w:rsidRPr="00E039B2">
        <w:rPr>
          <w:rFonts w:ascii="Arial" w:eastAsia="Times New Roman" w:hAnsi="Arial" w:cs="Arial"/>
          <w:b/>
          <w:color w:val="0000FF"/>
        </w:rPr>
        <w:t>[explain the purpose of the use of the bond proceeds]</w:t>
      </w:r>
      <w:r w:rsidRPr="00E039B2">
        <w:rPr>
          <w:rFonts w:ascii="Arial" w:eastAsia="Times New Roman" w:hAnsi="Arial" w:cs="Arial"/>
          <w:i/>
        </w:rPr>
        <w:t>.</w:t>
      </w:r>
      <w:r w:rsidRPr="00E039B2">
        <w:rPr>
          <w:rFonts w:ascii="Arial" w:eastAsia="Times New Roman" w:hAnsi="Arial" w:cs="Arial"/>
        </w:rPr>
        <w:t xml:space="preserve"> [While bearing interest at a weekly rate, the bonds are subject to purchase on demand with seven days’ notice and delivery to the Department’s remarketing agent, ___________. </w:t>
      </w:r>
      <w:r w:rsidRPr="00E039B2">
        <w:rPr>
          <w:rFonts w:ascii="Arial" w:eastAsia="Times New Roman" w:hAnsi="Arial" w:cs="Arial"/>
          <w:b/>
          <w:bCs/>
          <w:i/>
          <w:color w:val="0000FF"/>
        </w:rPr>
        <w:t>[Modify as necessary.]</w:t>
      </w:r>
      <w:r w:rsidRPr="00E039B2">
        <w:rPr>
          <w:rFonts w:ascii="Arial" w:eastAsia="Times New Roman" w:hAnsi="Arial" w:cs="Arial"/>
          <w:bCs/>
          <w:color w:val="000000"/>
        </w:rPr>
        <w:t>]</w:t>
      </w:r>
    </w:p>
    <w:p w14:paraId="18AD05AF" w14:textId="77777777" w:rsidR="001F7D9B" w:rsidRPr="00E039B2" w:rsidRDefault="001F7D9B" w:rsidP="001F7D9B">
      <w:pPr>
        <w:spacing w:after="240" w:line="240" w:lineRule="auto"/>
        <w:ind w:left="1915"/>
        <w:jc w:val="both"/>
        <w:rPr>
          <w:rFonts w:ascii="Arial" w:eastAsia="Times New Roman" w:hAnsi="Arial" w:cs="Arial"/>
          <w:bCs/>
          <w:color w:val="000000"/>
        </w:rPr>
      </w:pPr>
      <w:r w:rsidRPr="00E039B2">
        <w:rPr>
          <w:rFonts w:ascii="Arial" w:eastAsia="Times New Roman" w:hAnsi="Arial" w:cs="Arial"/>
        </w:rPr>
        <w:t xml:space="preserve">[Under an irrevocable letter of credit issued by __________, the trustee is entitled to draw amounts sufficient to pay principal and interest on the bonds and amounts sufficient to pay the purchase price and accrued interest on bonds delivered for purchase. The Department is required to pay an annual commitment fee for the letter of credit of .30% of the amount of bonds then currently outstanding plus an amount for accrued interest. </w:t>
      </w:r>
      <w:r w:rsidRPr="00E039B2">
        <w:rPr>
          <w:rFonts w:ascii="Arial" w:eastAsia="Times New Roman" w:hAnsi="Arial" w:cs="Arial"/>
          <w:b/>
          <w:bCs/>
          <w:i/>
          <w:color w:val="0000FF"/>
        </w:rPr>
        <w:t>[Modify as necessary.]</w:t>
      </w:r>
      <w:r w:rsidRPr="00E039B2">
        <w:rPr>
          <w:rFonts w:ascii="Arial" w:eastAsia="Times New Roman" w:hAnsi="Arial" w:cs="Arial"/>
          <w:bCs/>
          <w:color w:val="000000"/>
        </w:rPr>
        <w:t>]</w:t>
      </w:r>
    </w:p>
    <w:p w14:paraId="40BFC4F2" w14:textId="7AA20995"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[The Department has entered into a reimbursement agreement with ____________ in which it has agreed that upon the earlier of termination of the letter of credit or one year from a purchase draw date to repay amounts that represent purchase drawings under the letter of credit. Interest at the rate of prime is payable quarterly and upon draw repayment. At June 30, </w:t>
      </w:r>
      <w:r w:rsidRPr="00E039B2">
        <w:rPr>
          <w:rFonts w:ascii="Arial" w:eastAsia="Times New Roman" w:hAnsi="Arial" w:cs="Arial"/>
          <w:highlight w:val="yellow"/>
        </w:rPr>
        <w:t>2020</w:t>
      </w:r>
      <w:r w:rsidRPr="00E039B2">
        <w:rPr>
          <w:rFonts w:ascii="Arial" w:eastAsia="Times New Roman" w:hAnsi="Arial" w:cs="Arial"/>
        </w:rPr>
        <w:t xml:space="preserve">, no purchase drawings had been made under the letter of credit. </w:t>
      </w:r>
      <w:r w:rsidRPr="00E039B2">
        <w:rPr>
          <w:rFonts w:ascii="Arial" w:eastAsia="Times New Roman" w:hAnsi="Arial" w:cs="Arial"/>
          <w:b/>
          <w:i/>
          <w:color w:val="0000FF"/>
        </w:rPr>
        <w:t>[Modify as necessary.]</w:t>
      </w:r>
      <w:r w:rsidRPr="00E039B2">
        <w:rPr>
          <w:rFonts w:ascii="Arial" w:eastAsia="Times New Roman" w:hAnsi="Arial" w:cs="Arial"/>
          <w:bCs/>
          <w:color w:val="000000"/>
        </w:rPr>
        <w:t>]</w:t>
      </w:r>
    </w:p>
    <w:p w14:paraId="17F33E80" w14:textId="573E9EFD"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[The letter of credit automatically extends so that termination will not occur until 364 days after notice is received from _________ that the letter of credit will not be extended. As of June 30, </w:t>
      </w:r>
      <w:r w:rsidRPr="00E039B2">
        <w:rPr>
          <w:rFonts w:ascii="Arial" w:eastAsia="Times New Roman" w:hAnsi="Arial" w:cs="Arial"/>
          <w:highlight w:val="yellow"/>
        </w:rPr>
        <w:t>2020</w:t>
      </w:r>
      <w:r w:rsidRPr="00E039B2">
        <w:rPr>
          <w:rFonts w:ascii="Arial" w:eastAsia="Times New Roman" w:hAnsi="Arial" w:cs="Arial"/>
        </w:rPr>
        <w:t xml:space="preserve">, the earliest such termination date is June 29, </w:t>
      </w:r>
      <w:r w:rsidRPr="00E039B2">
        <w:rPr>
          <w:rFonts w:ascii="Arial" w:eastAsia="Times New Roman" w:hAnsi="Arial" w:cs="Arial"/>
          <w:highlight w:val="yellow"/>
        </w:rPr>
        <w:t>2021</w:t>
      </w:r>
      <w:r w:rsidRPr="00E039B2">
        <w:rPr>
          <w:rFonts w:ascii="Arial" w:eastAsia="Times New Roman" w:hAnsi="Arial" w:cs="Arial"/>
        </w:rPr>
        <w:t xml:space="preserve">. </w:t>
      </w:r>
      <w:r w:rsidRPr="00E039B2">
        <w:rPr>
          <w:rFonts w:ascii="Arial" w:eastAsia="Times New Roman" w:hAnsi="Arial" w:cs="Arial"/>
          <w:b/>
          <w:i/>
          <w:color w:val="0000FF"/>
        </w:rPr>
        <w:t>[Modify as necessary.]</w:t>
      </w:r>
      <w:r w:rsidRPr="00E039B2">
        <w:rPr>
          <w:rFonts w:ascii="Arial" w:eastAsia="Times New Roman" w:hAnsi="Arial" w:cs="Arial"/>
          <w:bCs/>
          <w:color w:val="000000"/>
        </w:rPr>
        <w:t>]</w:t>
      </w:r>
    </w:p>
    <w:p w14:paraId="69B16C05"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With regards to the following demand bonds, the Department has entered </w:t>
      </w:r>
      <w:r w:rsidRPr="00E039B2">
        <w:rPr>
          <w:rFonts w:ascii="Arial" w:eastAsia="Times New Roman" w:hAnsi="Arial" w:cs="Arial"/>
          <w:color w:val="000000"/>
        </w:rPr>
        <w:t>into take out agreements</w:t>
      </w:r>
      <w:r w:rsidRPr="00E039B2">
        <w:rPr>
          <w:rFonts w:ascii="Arial" w:eastAsia="Times New Roman" w:hAnsi="Arial" w:cs="Arial"/>
        </w:rPr>
        <w:t>, which would convert the demand bonds not successfully remarketed into another form of long-term debt.</w:t>
      </w:r>
    </w:p>
    <w:p w14:paraId="5689EC82"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b/>
          <w:u w:val="single"/>
        </w:rPr>
        <w:t>(Title of Bond Issue)</w:t>
      </w:r>
      <w:r w:rsidRPr="00E039B2">
        <w:rPr>
          <w:rFonts w:ascii="Arial" w:eastAsia="Times New Roman" w:hAnsi="Arial" w:cs="Arial"/>
        </w:rPr>
        <w:t>: On _________, 19</w:t>
      </w:r>
      <w:r w:rsidRPr="00E039B2">
        <w:rPr>
          <w:rFonts w:ascii="Arial" w:eastAsia="Times New Roman" w:hAnsi="Arial" w:cs="Arial"/>
          <w:b/>
          <w:color w:val="0000FF"/>
        </w:rPr>
        <w:t>XX</w:t>
      </w:r>
      <w:r w:rsidRPr="00E039B2">
        <w:rPr>
          <w:rFonts w:ascii="Arial" w:eastAsia="Times New Roman" w:hAnsi="Arial" w:cs="Arial"/>
        </w:rPr>
        <w:t xml:space="preserve"> the Department issued [tax-exempt adjustable mode] demand bonds in the amount of $_________ that have a final maturity date of __________, 20</w:t>
      </w:r>
      <w:r w:rsidRPr="00E039B2">
        <w:rPr>
          <w:rFonts w:ascii="Arial" w:eastAsia="Times New Roman" w:hAnsi="Arial" w:cs="Arial"/>
          <w:b/>
          <w:color w:val="0000FF"/>
        </w:rPr>
        <w:t>XX</w:t>
      </w:r>
      <w:r w:rsidRPr="00E039B2">
        <w:rPr>
          <w:rFonts w:ascii="Arial" w:eastAsia="Times New Roman" w:hAnsi="Arial" w:cs="Arial"/>
        </w:rPr>
        <w:t>. The bonds are subject to mandatory sinking fund redemption that begins on __________, 20</w:t>
      </w:r>
      <w:r w:rsidRPr="00E039B2">
        <w:rPr>
          <w:rFonts w:ascii="Arial" w:eastAsia="Times New Roman" w:hAnsi="Arial" w:cs="Arial"/>
          <w:b/>
          <w:color w:val="0000FF"/>
        </w:rPr>
        <w:t>XX</w:t>
      </w:r>
      <w:r w:rsidRPr="00E039B2">
        <w:rPr>
          <w:rFonts w:ascii="Arial" w:eastAsia="Times New Roman" w:hAnsi="Arial" w:cs="Arial"/>
        </w:rPr>
        <w:t xml:space="preserve">. The proceeds of this issuance are for </w:t>
      </w:r>
      <w:r w:rsidRPr="00E039B2">
        <w:rPr>
          <w:rFonts w:ascii="Arial" w:eastAsia="Times New Roman" w:hAnsi="Arial" w:cs="Arial"/>
          <w:b/>
          <w:color w:val="0000FF"/>
        </w:rPr>
        <w:t>[explain the purpose of the use of the bond proceeds]</w:t>
      </w:r>
      <w:r w:rsidRPr="00E039B2">
        <w:rPr>
          <w:rFonts w:ascii="Arial" w:eastAsia="Times New Roman" w:hAnsi="Arial" w:cs="Arial"/>
          <w:color w:val="3366FF"/>
        </w:rPr>
        <w:t>.</w:t>
      </w:r>
      <w:r w:rsidRPr="00E039B2">
        <w:rPr>
          <w:rFonts w:ascii="Arial" w:eastAsia="Times New Roman" w:hAnsi="Arial" w:cs="Arial"/>
        </w:rPr>
        <w:t xml:space="preserve"> The bonds are subject to purchase on demand with seven days’ notice and delivery to the Department’s remarketing agent, ____________.</w:t>
      </w:r>
    </w:p>
    <w:p w14:paraId="04431843" w14:textId="77777777" w:rsidR="001F7D9B" w:rsidRPr="00E039B2" w:rsidRDefault="001F7D9B" w:rsidP="001F7D9B">
      <w:pPr>
        <w:spacing w:after="240" w:line="240" w:lineRule="auto"/>
        <w:ind w:left="1915"/>
        <w:jc w:val="both"/>
        <w:rPr>
          <w:rFonts w:ascii="Arial" w:eastAsia="Times New Roman" w:hAnsi="Arial" w:cs="Arial"/>
          <w:b/>
          <w:bCs/>
        </w:rPr>
      </w:pPr>
      <w:r w:rsidRPr="00E039B2">
        <w:rPr>
          <w:rFonts w:ascii="Arial" w:eastAsia="Times New Roman" w:hAnsi="Arial" w:cs="Arial"/>
        </w:rPr>
        <w:t xml:space="preserve">[Under an irrevocable letter of credit issued by __________, the trustee is entitled to draw amounts sufficient to pay principal and interest on the bonds and amounts sufficient to pay the purchase price and accrued interest on bonds delivered for purchase. The Department is required to </w:t>
      </w:r>
      <w:r w:rsidRPr="00E039B2">
        <w:rPr>
          <w:rFonts w:ascii="Arial" w:eastAsia="Times New Roman" w:hAnsi="Arial" w:cs="Arial"/>
        </w:rPr>
        <w:lastRenderedPageBreak/>
        <w:t xml:space="preserve">pay an annual commitment fee of .35% of the amount of the bonds then currently outstanding plus an amount for accrued interest. </w:t>
      </w:r>
      <w:r w:rsidRPr="00E039B2">
        <w:rPr>
          <w:rFonts w:ascii="Arial" w:eastAsia="Times New Roman" w:hAnsi="Arial" w:cs="Arial"/>
          <w:b/>
          <w:bCs/>
          <w:i/>
          <w:color w:val="0000FF"/>
        </w:rPr>
        <w:t>[M</w:t>
      </w:r>
      <w:r w:rsidRPr="00E039B2">
        <w:rPr>
          <w:rFonts w:ascii="Arial" w:eastAsia="Times New Roman" w:hAnsi="Arial" w:cs="Arial"/>
          <w:b/>
          <w:bCs/>
          <w:i/>
          <w:iCs/>
          <w:color w:val="0000FF"/>
        </w:rPr>
        <w:t>odify as necessary.]</w:t>
      </w:r>
      <w:r w:rsidRPr="00E039B2">
        <w:rPr>
          <w:rFonts w:ascii="Arial" w:eastAsia="Times New Roman" w:hAnsi="Arial" w:cs="Arial"/>
          <w:bCs/>
          <w:color w:val="000000"/>
        </w:rPr>
        <w:t>]</w:t>
      </w:r>
    </w:p>
    <w:p w14:paraId="1D067E6F" w14:textId="4B60187F" w:rsidR="001F7D9B" w:rsidRPr="00E039B2" w:rsidRDefault="001F7D9B" w:rsidP="001F7D9B">
      <w:pPr>
        <w:spacing w:after="240" w:line="240" w:lineRule="auto"/>
        <w:ind w:left="1915"/>
        <w:jc w:val="both"/>
        <w:rPr>
          <w:rFonts w:ascii="Arial" w:eastAsia="Times New Roman" w:hAnsi="Arial" w:cs="Arial"/>
          <w:b/>
          <w:bCs/>
        </w:rPr>
      </w:pPr>
      <w:r w:rsidRPr="00E039B2">
        <w:rPr>
          <w:rFonts w:ascii="Arial" w:eastAsia="Times New Roman" w:hAnsi="Arial" w:cs="Arial"/>
        </w:rPr>
        <w:t xml:space="preserve">[The Department has entered into a reimbursement agreement with ______ in which it has agreed upon termination of the letter of credit to repay all amounts that are drawn under the letter of credit. Interest at the rate of prime for the first 90 days and prime plus 1.5% thereafter is payable quarterly and upon termination. At June 30, </w:t>
      </w:r>
      <w:r w:rsidRPr="00E039B2">
        <w:rPr>
          <w:rFonts w:ascii="Arial" w:eastAsia="Times New Roman" w:hAnsi="Arial" w:cs="Arial"/>
          <w:highlight w:val="yellow"/>
        </w:rPr>
        <w:t>2020</w:t>
      </w:r>
      <w:r w:rsidRPr="00E039B2">
        <w:rPr>
          <w:rFonts w:ascii="Arial" w:eastAsia="Times New Roman" w:hAnsi="Arial" w:cs="Arial"/>
        </w:rPr>
        <w:t xml:space="preserve">, no drawings had been made under the letter of credit. </w:t>
      </w:r>
      <w:r w:rsidRPr="00E039B2">
        <w:rPr>
          <w:rFonts w:ascii="Arial" w:eastAsia="Times New Roman" w:hAnsi="Arial" w:cs="Arial"/>
          <w:b/>
          <w:bCs/>
          <w:i/>
          <w:iCs/>
          <w:color w:val="0000FF"/>
        </w:rPr>
        <w:t>[Modify as necessary.]</w:t>
      </w:r>
      <w:r w:rsidRPr="00E039B2">
        <w:rPr>
          <w:rFonts w:ascii="Arial" w:eastAsia="Times New Roman" w:hAnsi="Arial" w:cs="Arial"/>
          <w:bCs/>
          <w:color w:val="000000"/>
        </w:rPr>
        <w:t>]</w:t>
      </w:r>
    </w:p>
    <w:p w14:paraId="1D2D35BA" w14:textId="6E5FF803" w:rsidR="001F7D9B" w:rsidRPr="00E039B2" w:rsidRDefault="001F7D9B" w:rsidP="001F7D9B">
      <w:pPr>
        <w:spacing w:after="240" w:line="240" w:lineRule="auto"/>
        <w:ind w:left="1915"/>
        <w:jc w:val="both"/>
        <w:rPr>
          <w:rFonts w:ascii="Arial" w:eastAsia="Times New Roman" w:hAnsi="Arial" w:cs="Arial"/>
          <w:bCs/>
        </w:rPr>
      </w:pPr>
      <w:r w:rsidRPr="00E039B2">
        <w:rPr>
          <w:rFonts w:ascii="Arial" w:eastAsia="Times New Roman" w:hAnsi="Arial" w:cs="Arial"/>
          <w:bCs/>
        </w:rPr>
        <w:t xml:space="preserve">[If the remarketing agent is unable to resell any bonds that are “put” within 180 days of the “put” date, the Department has a </w:t>
      </w:r>
      <w:proofErr w:type="gramStart"/>
      <w:r w:rsidRPr="00E039B2">
        <w:rPr>
          <w:rFonts w:ascii="Arial" w:eastAsia="Times New Roman" w:hAnsi="Arial" w:cs="Arial"/>
          <w:bCs/>
        </w:rPr>
        <w:t>take out</w:t>
      </w:r>
      <w:proofErr w:type="gramEnd"/>
      <w:r w:rsidRPr="00E039B2">
        <w:rPr>
          <w:rFonts w:ascii="Arial" w:eastAsia="Times New Roman" w:hAnsi="Arial" w:cs="Arial"/>
          <w:bCs/>
        </w:rPr>
        <w:t xml:space="preserve"> agreement with _______ to convert the bonds to an installment loan payable over a five-year period bearing an adjustable interest rate equal to the bank’s prime lending rate. The </w:t>
      </w:r>
      <w:proofErr w:type="gramStart"/>
      <w:r w:rsidRPr="00E039B2">
        <w:rPr>
          <w:rFonts w:ascii="Arial" w:eastAsia="Times New Roman" w:hAnsi="Arial" w:cs="Arial"/>
          <w:bCs/>
        </w:rPr>
        <w:t>take out</w:t>
      </w:r>
      <w:proofErr w:type="gramEnd"/>
      <w:r w:rsidRPr="00E039B2">
        <w:rPr>
          <w:rFonts w:ascii="Arial" w:eastAsia="Times New Roman" w:hAnsi="Arial" w:cs="Arial"/>
          <w:bCs/>
        </w:rPr>
        <w:t xml:space="preserve"> agreement expires July 1,</w:t>
      </w:r>
      <w:r w:rsidRPr="00E039B2">
        <w:rPr>
          <w:rFonts w:ascii="Arial" w:eastAsia="Times New Roman" w:hAnsi="Arial" w:cs="Arial"/>
          <w:bCs/>
          <w:highlight w:val="yellow"/>
        </w:rPr>
        <w:t>2021</w:t>
      </w:r>
      <w:r w:rsidRPr="00E039B2">
        <w:rPr>
          <w:rFonts w:ascii="Arial" w:eastAsia="Times New Roman" w:hAnsi="Arial" w:cs="Arial"/>
          <w:bCs/>
        </w:rPr>
        <w:t xml:space="preserve">. If the </w:t>
      </w:r>
      <w:proofErr w:type="gramStart"/>
      <w:r w:rsidRPr="00E039B2">
        <w:rPr>
          <w:rFonts w:ascii="Arial" w:eastAsia="Times New Roman" w:hAnsi="Arial" w:cs="Arial"/>
          <w:bCs/>
        </w:rPr>
        <w:t>take out</w:t>
      </w:r>
      <w:proofErr w:type="gramEnd"/>
      <w:r w:rsidRPr="00E039B2">
        <w:rPr>
          <w:rFonts w:ascii="Arial" w:eastAsia="Times New Roman" w:hAnsi="Arial" w:cs="Arial"/>
          <w:bCs/>
        </w:rPr>
        <w:t xml:space="preserve"> agreement were to be exercised because the entire issue of $_________ of demand bonds was “put” and not resold, the Department would be required to pay $___________ a year for 5 years under the installment loan agreement assuming a 7% interest rate. </w:t>
      </w:r>
      <w:r w:rsidRPr="00E039B2">
        <w:rPr>
          <w:rFonts w:ascii="Arial" w:eastAsia="Times New Roman" w:hAnsi="Arial" w:cs="Arial"/>
          <w:b/>
          <w:bCs/>
          <w:i/>
          <w:color w:val="0000FF"/>
        </w:rPr>
        <w:t>[Modify as necessary.]</w:t>
      </w:r>
      <w:r w:rsidRPr="00E039B2">
        <w:rPr>
          <w:rFonts w:ascii="Arial" w:eastAsia="Times New Roman" w:hAnsi="Arial" w:cs="Arial"/>
          <w:bCs/>
        </w:rPr>
        <w:t>]</w:t>
      </w:r>
    </w:p>
    <w:p w14:paraId="6A72EC65" w14:textId="67269100" w:rsidR="001F7D9B" w:rsidRPr="00E039B2" w:rsidRDefault="001F7D9B" w:rsidP="001F7D9B">
      <w:pPr>
        <w:spacing w:after="240" w:line="240" w:lineRule="auto"/>
        <w:ind w:left="1915"/>
        <w:jc w:val="both"/>
        <w:rPr>
          <w:rFonts w:ascii="Arial" w:eastAsia="Times New Roman" w:hAnsi="Arial" w:cs="Arial"/>
          <w:bCs/>
          <w:color w:val="000000"/>
        </w:rPr>
      </w:pPr>
      <w:r w:rsidRPr="00E039B2">
        <w:rPr>
          <w:rFonts w:ascii="Arial" w:eastAsia="Times New Roman" w:hAnsi="Arial" w:cs="Arial"/>
        </w:rPr>
        <w:t xml:space="preserve">[The letter of credit automatically extends every month so that termination will not occur until 13 months after notice is received from __________ that the letter of credit will not be extended. As of June 30, </w:t>
      </w:r>
      <w:r w:rsidRPr="00E039B2">
        <w:rPr>
          <w:rFonts w:ascii="Arial" w:eastAsia="Times New Roman" w:hAnsi="Arial" w:cs="Arial"/>
          <w:highlight w:val="yellow"/>
        </w:rPr>
        <w:t>2020</w:t>
      </w:r>
      <w:r w:rsidRPr="00E039B2">
        <w:rPr>
          <w:rFonts w:ascii="Arial" w:eastAsia="Times New Roman" w:hAnsi="Arial" w:cs="Arial"/>
        </w:rPr>
        <w:t xml:space="preserve">, the earliest such termination date is July 5, </w:t>
      </w:r>
      <w:r w:rsidRPr="00E039B2">
        <w:rPr>
          <w:rFonts w:ascii="Arial" w:eastAsia="Times New Roman" w:hAnsi="Arial" w:cs="Arial"/>
          <w:highlight w:val="yellow"/>
        </w:rPr>
        <w:t>2021</w:t>
      </w:r>
      <w:r w:rsidRPr="00E039B2">
        <w:rPr>
          <w:rFonts w:ascii="Arial" w:eastAsia="Times New Roman" w:hAnsi="Arial" w:cs="Arial"/>
        </w:rPr>
        <w:t xml:space="preserve">. </w:t>
      </w:r>
      <w:r w:rsidRPr="00E039B2">
        <w:rPr>
          <w:rFonts w:ascii="Arial" w:eastAsia="Times New Roman" w:hAnsi="Arial" w:cs="Arial"/>
          <w:b/>
          <w:bCs/>
          <w:i/>
          <w:iCs/>
          <w:color w:val="0000FF"/>
        </w:rPr>
        <w:t>[Modify as necessary.]</w:t>
      </w:r>
      <w:r w:rsidRPr="00E039B2">
        <w:rPr>
          <w:rFonts w:ascii="Arial" w:eastAsia="Times New Roman" w:hAnsi="Arial" w:cs="Arial"/>
          <w:bCs/>
          <w:color w:val="000000"/>
        </w:rPr>
        <w:t>]</w:t>
      </w:r>
    </w:p>
    <w:p w14:paraId="55E3D800" w14:textId="77777777" w:rsidR="001F7D9B" w:rsidRPr="00E039B2" w:rsidRDefault="001F7D9B" w:rsidP="001F7D9B">
      <w:pPr>
        <w:tabs>
          <w:tab w:val="left" w:pos="1560"/>
        </w:tabs>
        <w:spacing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G.</w:t>
      </w:r>
      <w:r w:rsidRPr="00E039B2">
        <w:rPr>
          <w:rFonts w:ascii="Arial" w:eastAsia="Times New Roman" w:hAnsi="Arial" w:cs="Arial"/>
          <w:b/>
        </w:rPr>
        <w:tab/>
      </w:r>
      <w:r w:rsidRPr="00E039B2">
        <w:rPr>
          <w:rFonts w:ascii="Arial" w:eastAsia="Times New Roman" w:hAnsi="Arial" w:cs="Arial"/>
          <w:b/>
          <w:color w:val="000000"/>
        </w:rPr>
        <w:t xml:space="preserve">Terms of Debt Agreements </w:t>
      </w:r>
      <w:r w:rsidRPr="00E039B2">
        <w:rPr>
          <w:rFonts w:ascii="Arial" w:eastAsia="Times New Roman" w:hAnsi="Arial" w:cs="Arial"/>
          <w:color w:val="000000"/>
        </w:rPr>
        <w:t xml:space="preserve">- </w:t>
      </w:r>
      <w:r w:rsidRPr="00E039B2">
        <w:rPr>
          <w:rFonts w:ascii="Arial" w:eastAsia="Times New Roman" w:hAnsi="Arial" w:cs="Arial"/>
          <w:b/>
          <w:i/>
          <w:color w:val="0000FF"/>
        </w:rPr>
        <w:t>[Per GASB 88 paragraph 5(b)-(c), disclosure should include assets pledged as collateral for debt as well as terms specified in debt agreements related to significant (1) events of default with finance-related consequences, (2) termination events with finance-related consequences, and (3) subjective acceleration clauses.]</w:t>
      </w:r>
      <w:r w:rsidRPr="00E039B2">
        <w:rPr>
          <w:rFonts w:ascii="Arial" w:eastAsia="Times New Roman" w:hAnsi="Arial" w:cs="Arial"/>
          <w:b/>
          <w:color w:val="0000FF"/>
        </w:rPr>
        <w:t xml:space="preserve"> </w:t>
      </w:r>
      <w:r w:rsidRPr="00E039B2">
        <w:rPr>
          <w:rFonts w:ascii="Arial" w:eastAsia="Times New Roman" w:hAnsi="Arial" w:cs="Arial"/>
        </w:rPr>
        <w:t>The Department’s debt agreements are subject to the following collateral requirements and terms with finance-related consequences:</w:t>
      </w:r>
      <w:r w:rsidRPr="00E039B2">
        <w:rPr>
          <w:rFonts w:ascii="Arial" w:eastAsia="Times New Roman" w:hAnsi="Arial" w:cs="Arial"/>
          <w:b/>
          <w:i/>
          <w:color w:val="0000FF"/>
        </w:rPr>
        <w:t xml:space="preserve"> [Modify as necessary.]</w:t>
      </w:r>
    </w:p>
    <w:p w14:paraId="20E254C3" w14:textId="77777777" w:rsidR="001F7D9B" w:rsidRPr="00E039B2" w:rsidRDefault="001F7D9B" w:rsidP="001F7D9B">
      <w:pPr>
        <w:spacing w:after="240" w:line="240" w:lineRule="auto"/>
        <w:ind w:left="1915"/>
        <w:jc w:val="both"/>
        <w:rPr>
          <w:rFonts w:ascii="Arial" w:eastAsia="Times New Roman" w:hAnsi="Arial" w:cs="Arial"/>
          <w:b/>
        </w:rPr>
      </w:pPr>
      <w:r w:rsidRPr="00E039B2">
        <w:rPr>
          <w:rFonts w:ascii="Arial" w:eastAsia="Times New Roman" w:hAnsi="Arial" w:cs="Arial"/>
          <w:b/>
        </w:rPr>
        <w:t xml:space="preserve">Revenue Bonds Payable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[Describe assets pledged as collateral and significant terms. Similar terms can be referenced for multiple series, as applicable. Omit if not applicable.]</w:t>
      </w:r>
    </w:p>
    <w:p w14:paraId="25DA91BC" w14:textId="77777777" w:rsidR="001F7D9B" w:rsidRPr="00E039B2" w:rsidRDefault="001F7D9B" w:rsidP="001F7D9B">
      <w:pPr>
        <w:spacing w:after="240" w:line="240" w:lineRule="auto"/>
        <w:ind w:left="1915"/>
        <w:jc w:val="both"/>
        <w:rPr>
          <w:rFonts w:ascii="Arial" w:eastAsia="Times New Roman" w:hAnsi="Arial" w:cs="Arial"/>
          <w:b/>
          <w:i/>
          <w:color w:val="0000FF"/>
        </w:rPr>
      </w:pPr>
      <w:r w:rsidRPr="00E039B2">
        <w:rPr>
          <w:rFonts w:ascii="Arial" w:eastAsia="Times New Roman" w:hAnsi="Arial" w:cs="Arial"/>
          <w:b/>
        </w:rPr>
        <w:t xml:space="preserve">Special Indebtedness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[Describe assets pledged as collateral and significant terms. Similar terms can be referenced for multiple series, as applicable. Omit if not applicable.]</w:t>
      </w:r>
    </w:p>
    <w:p w14:paraId="4D15AB6B" w14:textId="77777777" w:rsidR="001F7D9B" w:rsidRPr="00E039B2" w:rsidRDefault="001F7D9B" w:rsidP="001F7D9B">
      <w:pPr>
        <w:spacing w:after="240" w:line="240" w:lineRule="auto"/>
        <w:ind w:left="1915"/>
        <w:jc w:val="both"/>
        <w:rPr>
          <w:rFonts w:ascii="Arial" w:eastAsia="Times New Roman" w:hAnsi="Arial" w:cs="Arial"/>
          <w:b/>
        </w:rPr>
      </w:pPr>
      <w:r w:rsidRPr="00E039B2">
        <w:rPr>
          <w:rFonts w:ascii="Arial" w:eastAsia="Times New Roman" w:hAnsi="Arial" w:cs="Arial"/>
          <w:b/>
          <w:highlight w:val="yellow"/>
        </w:rPr>
        <w:t>Bonds/</w:t>
      </w:r>
      <w:r w:rsidRPr="00E039B2">
        <w:rPr>
          <w:rFonts w:ascii="Arial" w:eastAsia="Times New Roman" w:hAnsi="Arial" w:cs="Arial"/>
          <w:b/>
        </w:rPr>
        <w:t xml:space="preserve">Notes from Direct Placements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[Describe assets pledged as collateral and significant terms. Similar terms can be referenced for multiple series, as applicable. Omit if not applicable.]</w:t>
      </w:r>
    </w:p>
    <w:p w14:paraId="535E04B5" w14:textId="77777777" w:rsidR="001F7D9B" w:rsidRPr="00E039B2" w:rsidRDefault="001F7D9B" w:rsidP="001F7D9B">
      <w:pPr>
        <w:spacing w:after="240" w:line="240" w:lineRule="auto"/>
        <w:ind w:left="1915"/>
        <w:jc w:val="both"/>
        <w:rPr>
          <w:rFonts w:ascii="Arial" w:eastAsia="Times New Roman" w:hAnsi="Arial" w:cs="Arial"/>
          <w:b/>
          <w:i/>
          <w:color w:val="0000FF"/>
        </w:rPr>
      </w:pPr>
      <w:r w:rsidRPr="00E039B2">
        <w:rPr>
          <w:rFonts w:ascii="Arial" w:eastAsia="Times New Roman" w:hAnsi="Arial" w:cs="Arial"/>
          <w:b/>
        </w:rPr>
        <w:t xml:space="preserve">Notes from Direct Borrowings </w:t>
      </w:r>
      <w:r w:rsidRPr="00E039B2">
        <w:rPr>
          <w:rFonts w:ascii="Arial" w:eastAsia="Times New Roman" w:hAnsi="Arial" w:cs="Arial"/>
        </w:rPr>
        <w:t xml:space="preserve">- </w:t>
      </w:r>
      <w:r w:rsidRPr="00E039B2">
        <w:rPr>
          <w:rFonts w:ascii="Arial" w:eastAsia="Times New Roman" w:hAnsi="Arial" w:cs="Arial"/>
          <w:b/>
          <w:i/>
          <w:color w:val="0000FF"/>
        </w:rPr>
        <w:t>[Describe assets pledged as collateral and significant terms for other notes from direct borrowings. Similar terms can be referenced for multiple borrowings, as applicable. Omit if not applicable.]</w:t>
      </w:r>
    </w:p>
    <w:p w14:paraId="58E76F9D"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b/>
        </w:rPr>
        <w:lastRenderedPageBreak/>
        <w:t>Capital Leases</w:t>
      </w:r>
      <w:r w:rsidRPr="00E039B2">
        <w:rPr>
          <w:rFonts w:ascii="Arial" w:eastAsia="Times New Roman" w:hAnsi="Arial" w:cs="Arial"/>
        </w:rPr>
        <w:t xml:space="preserve"> </w:t>
      </w:r>
      <w:r w:rsidRPr="00E039B2">
        <w:rPr>
          <w:rFonts w:ascii="Arial" w:eastAsia="Times New Roman" w:hAnsi="Arial" w:cs="Arial"/>
          <w:b/>
        </w:rPr>
        <w:t>Payable</w:t>
      </w:r>
      <w:r w:rsidRPr="00E039B2">
        <w:rPr>
          <w:rFonts w:ascii="Arial" w:eastAsia="Times New Roman" w:hAnsi="Arial" w:cs="Arial"/>
        </w:rPr>
        <w:t xml:space="preserve"> - </w:t>
      </w:r>
      <w:r w:rsidRPr="00E039B2">
        <w:rPr>
          <w:rFonts w:ascii="Arial" w:eastAsia="Times New Roman" w:hAnsi="Arial" w:cs="Arial"/>
          <w:b/>
          <w:i/>
          <w:color w:val="0000FF"/>
        </w:rPr>
        <w:t>[Per GASB 88 paragraph 4, these disclosure requirements only apply to leases that are reported as a financed purchase of the underlying asset. For qualifying leases, describe assets pledged as collateral and significant terms. Similar terms can be referenced for multiple leases, as applicable. Omit if not applicable.]</w:t>
      </w:r>
    </w:p>
    <w:p w14:paraId="41B1CE66" w14:textId="77777777" w:rsidR="001F7D9B" w:rsidRPr="00E039B2" w:rsidRDefault="001F7D9B" w:rsidP="001F7D9B">
      <w:pPr>
        <w:spacing w:after="240" w:line="240" w:lineRule="auto"/>
        <w:ind w:left="1915"/>
        <w:jc w:val="both"/>
        <w:rPr>
          <w:rFonts w:ascii="Arial" w:eastAsia="Times New Roman" w:hAnsi="Arial" w:cs="Arial"/>
          <w:b/>
          <w:i/>
          <w:color w:val="0000FF"/>
        </w:rPr>
      </w:pPr>
      <w:r w:rsidRPr="00E039B2">
        <w:rPr>
          <w:rFonts w:ascii="Arial" w:eastAsia="Times New Roman" w:hAnsi="Arial" w:cs="Arial"/>
          <w:b/>
        </w:rPr>
        <w:t xml:space="preserve">Bond Anticipation Notes </w:t>
      </w:r>
      <w:r w:rsidRPr="00E039B2">
        <w:rPr>
          <w:rFonts w:ascii="Arial" w:eastAsia="Times New Roman" w:hAnsi="Arial" w:cs="Arial"/>
        </w:rPr>
        <w:t xml:space="preserve">- </w:t>
      </w:r>
      <w:r w:rsidRPr="00E039B2">
        <w:rPr>
          <w:rFonts w:ascii="Arial" w:eastAsia="Times New Roman" w:hAnsi="Arial" w:cs="Arial"/>
          <w:b/>
          <w:i/>
          <w:color w:val="0000FF"/>
        </w:rPr>
        <w:t>[Describe assets pledged as collateral and significant terms. Similar terms can be referenced for multiple notes, as applicable. Omit if not applicable.]</w:t>
      </w:r>
    </w:p>
    <w:p w14:paraId="5D47FC44" w14:textId="77777777" w:rsidR="001F7D9B" w:rsidRPr="00E039B2" w:rsidRDefault="001F7D9B" w:rsidP="001F7D9B">
      <w:pPr>
        <w:spacing w:after="240" w:line="240" w:lineRule="auto"/>
        <w:ind w:left="1915"/>
        <w:jc w:val="both"/>
        <w:rPr>
          <w:rFonts w:ascii="Arial" w:eastAsia="Times New Roman" w:hAnsi="Arial" w:cs="Arial"/>
          <w:i/>
          <w:color w:val="0000FF"/>
        </w:rPr>
      </w:pPr>
      <w:r w:rsidRPr="00E039B2">
        <w:rPr>
          <w:rFonts w:ascii="Arial" w:eastAsia="Times New Roman" w:hAnsi="Arial" w:cs="Arial"/>
          <w:b/>
          <w:i/>
          <w:color w:val="0000FF"/>
        </w:rPr>
        <w:t>[Note to preparer: modify components above as necessary and add any additional debt components reported (e.g. capital appreciation bonds)]</w:t>
      </w:r>
    </w:p>
    <w:p w14:paraId="2DA5950C" w14:textId="77777777" w:rsidR="001F7D9B" w:rsidRPr="00E039B2" w:rsidRDefault="001F7D9B" w:rsidP="001F7D9B">
      <w:pPr>
        <w:tabs>
          <w:tab w:val="left" w:pos="1560"/>
        </w:tabs>
        <w:spacing w:after="240" w:line="240" w:lineRule="auto"/>
        <w:ind w:left="1915" w:hanging="475"/>
        <w:jc w:val="both"/>
        <w:rPr>
          <w:rFonts w:ascii="Arial" w:eastAsia="Times New Roman" w:hAnsi="Arial" w:cs="Arial"/>
          <w:b/>
        </w:rPr>
      </w:pPr>
      <w:r w:rsidRPr="00E039B2">
        <w:rPr>
          <w:rFonts w:ascii="Arial" w:eastAsia="Times New Roman" w:hAnsi="Arial" w:cs="Arial"/>
          <w:b/>
        </w:rPr>
        <w:t>H.</w:t>
      </w:r>
      <w:r w:rsidRPr="00E039B2">
        <w:rPr>
          <w:rFonts w:ascii="Arial" w:eastAsia="Times New Roman" w:hAnsi="Arial" w:cs="Arial"/>
          <w:b/>
        </w:rPr>
        <w:tab/>
        <w:t>Bond Defeasance</w:t>
      </w:r>
      <w:r w:rsidRPr="00E039B2">
        <w:rPr>
          <w:rFonts w:ascii="Arial" w:eastAsia="Times New Roman" w:hAnsi="Arial" w:cs="Arial"/>
        </w:rPr>
        <w:t xml:space="preserve"> - The Department has extinguished long-term debt obligations by the issuance of new long-term debt instruments as follows: </w:t>
      </w:r>
      <w:r w:rsidRPr="00E039B2">
        <w:rPr>
          <w:rFonts w:ascii="Arial" w:eastAsia="Times New Roman" w:hAnsi="Arial" w:cs="Arial"/>
          <w:b/>
          <w:i/>
          <w:color w:val="0000FF"/>
        </w:rPr>
        <w:t>[See GASB 7 and 23 for additional guidance on current and advance refundings]</w:t>
      </w:r>
    </w:p>
    <w:p w14:paraId="4453A6C1" w14:textId="77777777" w:rsidR="001F7D9B" w:rsidRPr="00E039B2" w:rsidRDefault="001F7D9B" w:rsidP="001F7D9B">
      <w:pPr>
        <w:spacing w:before="120" w:after="120" w:line="240" w:lineRule="auto"/>
        <w:ind w:left="1440"/>
        <w:jc w:val="center"/>
        <w:rPr>
          <w:rFonts w:ascii="Arial" w:eastAsia="Times New Roman" w:hAnsi="Arial" w:cs="Arial"/>
          <w:b/>
          <w:color w:val="0000FF"/>
        </w:rPr>
      </w:pPr>
      <w:r w:rsidRPr="00E039B2">
        <w:rPr>
          <w:rFonts w:ascii="Arial" w:eastAsia="Times New Roman" w:hAnsi="Arial" w:cs="Arial"/>
          <w:b/>
          <w:i/>
          <w:color w:val="0000FF"/>
        </w:rPr>
        <w:t>[Example of a current refunding:]</w:t>
      </w:r>
    </w:p>
    <w:p w14:paraId="58311932"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On </w:t>
      </w:r>
      <w:r w:rsidRPr="00E039B2">
        <w:rPr>
          <w:rFonts w:ascii="Arial" w:eastAsia="Times New Roman" w:hAnsi="Arial" w:cs="Arial"/>
          <w:b/>
          <w:color w:val="0000FF"/>
        </w:rPr>
        <w:t>[date]</w:t>
      </w:r>
      <w:r w:rsidRPr="00E039B2">
        <w:rPr>
          <w:rFonts w:ascii="Arial" w:eastAsia="Times New Roman" w:hAnsi="Arial" w:cs="Arial"/>
        </w:rPr>
        <w:t xml:space="preserve"> the Department issued $_______ in </w:t>
      </w:r>
      <w:r w:rsidRPr="00E039B2">
        <w:rPr>
          <w:rFonts w:ascii="Arial" w:eastAsia="Times New Roman" w:hAnsi="Arial" w:cs="Arial"/>
          <w:b/>
          <w:color w:val="0000FF"/>
        </w:rPr>
        <w:t>[Title of New Bond Issue]</w:t>
      </w:r>
      <w:r w:rsidRPr="00E039B2">
        <w:rPr>
          <w:rFonts w:ascii="Arial" w:eastAsia="Times New Roman" w:hAnsi="Arial" w:cs="Arial"/>
        </w:rPr>
        <w:t xml:space="preserve"> refunding bonds with an average interest rate of ___%. The bonds were issued for a current refunding of $______ of outstanding </w:t>
      </w:r>
      <w:r w:rsidRPr="00E039B2">
        <w:rPr>
          <w:rFonts w:ascii="Arial" w:eastAsia="Times New Roman" w:hAnsi="Arial" w:cs="Arial"/>
          <w:b/>
          <w:color w:val="0000FF"/>
        </w:rPr>
        <w:t>[Title of Old Bond Issue]</w:t>
      </w:r>
      <w:r w:rsidRPr="00E039B2">
        <w:rPr>
          <w:rFonts w:ascii="Arial" w:eastAsia="Times New Roman" w:hAnsi="Arial" w:cs="Arial"/>
          <w:i/>
        </w:rPr>
        <w:t xml:space="preserve"> </w:t>
      </w:r>
      <w:r w:rsidRPr="00E039B2">
        <w:rPr>
          <w:rFonts w:ascii="Arial" w:eastAsia="Times New Roman" w:hAnsi="Arial" w:cs="Arial"/>
        </w:rPr>
        <w:t xml:space="preserve">bonds with an average interest rate of ____%. The refunding was undertaken to reduce total debt service payments by $______ over the next ___ years and resulted in an economic gain of $_______. The substitution of essentially risk-free monetary assets with monetary assets that are not essentially risk-free is not prohibited. </w:t>
      </w:r>
      <w:r w:rsidRPr="00E039B2">
        <w:rPr>
          <w:rFonts w:ascii="Arial" w:eastAsia="Times New Roman" w:hAnsi="Arial" w:cs="Arial"/>
          <w:b/>
          <w:i/>
          <w:color w:val="0000FF"/>
        </w:rPr>
        <w:t>[Note to Preparer: Departments should review trust or escrow agreements, bond indentures, etc. to determine if the substitution of risk-free monetary assets for in-substance defeasance transactions is prohibited. If substitution is prohibited, delete the last sentence in the paragraph above.]</w:t>
      </w:r>
    </w:p>
    <w:p w14:paraId="6EA08042" w14:textId="77777777" w:rsidR="001F7D9B" w:rsidRPr="00E039B2" w:rsidRDefault="001F7D9B" w:rsidP="001F7D9B">
      <w:pPr>
        <w:spacing w:before="120" w:after="120" w:line="240" w:lineRule="auto"/>
        <w:ind w:left="1440"/>
        <w:jc w:val="center"/>
        <w:rPr>
          <w:rFonts w:ascii="Arial" w:eastAsia="Times New Roman" w:hAnsi="Arial" w:cs="Arial"/>
          <w:b/>
          <w:color w:val="0000FF"/>
        </w:rPr>
      </w:pPr>
      <w:r w:rsidRPr="00E039B2">
        <w:rPr>
          <w:rFonts w:ascii="Arial" w:eastAsia="Times New Roman" w:hAnsi="Arial" w:cs="Arial"/>
          <w:b/>
          <w:i/>
          <w:color w:val="0000FF"/>
        </w:rPr>
        <w:t>[Example of a current year advance refunding.</w:t>
      </w:r>
    </w:p>
    <w:p w14:paraId="1E654FCD" w14:textId="46AC731C"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On </w:t>
      </w:r>
      <w:r w:rsidRPr="00E039B2">
        <w:rPr>
          <w:rFonts w:ascii="Arial" w:eastAsia="Times New Roman" w:hAnsi="Arial" w:cs="Arial"/>
          <w:b/>
          <w:color w:val="0000FF"/>
        </w:rPr>
        <w:t>[date]</w:t>
      </w:r>
      <w:r w:rsidRPr="00E039B2">
        <w:rPr>
          <w:rFonts w:ascii="Arial" w:eastAsia="Times New Roman" w:hAnsi="Arial" w:cs="Arial"/>
        </w:rPr>
        <w:t xml:space="preserve"> the Department issued $_______ in </w:t>
      </w:r>
      <w:r w:rsidRPr="00E039B2">
        <w:rPr>
          <w:rFonts w:ascii="Arial" w:eastAsia="Times New Roman" w:hAnsi="Arial" w:cs="Arial"/>
          <w:b/>
          <w:color w:val="0000FF"/>
        </w:rPr>
        <w:t>[Title of New Bond Issue]</w:t>
      </w:r>
      <w:r w:rsidRPr="00E039B2">
        <w:rPr>
          <w:rFonts w:ascii="Arial" w:eastAsia="Times New Roman" w:hAnsi="Arial" w:cs="Arial"/>
        </w:rPr>
        <w:t xml:space="preserve"> refunding bonds with an average interest rate of ___%. The bonds were issued to advance refund $______ of outstanding </w:t>
      </w:r>
      <w:r w:rsidRPr="00E039B2">
        <w:rPr>
          <w:rFonts w:ascii="Arial" w:eastAsia="Times New Roman" w:hAnsi="Arial" w:cs="Arial"/>
          <w:b/>
          <w:color w:val="0000FF"/>
        </w:rPr>
        <w:t>[Title of Old Bond Issue]</w:t>
      </w:r>
      <w:r w:rsidRPr="00E039B2">
        <w:rPr>
          <w:rFonts w:ascii="Arial" w:eastAsia="Times New Roman" w:hAnsi="Arial" w:cs="Arial"/>
          <w:i/>
        </w:rPr>
        <w:t xml:space="preserve"> </w:t>
      </w:r>
      <w:r w:rsidRPr="00E039B2">
        <w:rPr>
          <w:rFonts w:ascii="Arial" w:eastAsia="Times New Roman" w:hAnsi="Arial" w:cs="Arial"/>
        </w:rPr>
        <w:t xml:space="preserve">bonds with an average interest rate of ____%. The net proceeds of the refunding bonds </w:t>
      </w:r>
      <w:r w:rsidRPr="00E039B2">
        <w:rPr>
          <w:rFonts w:ascii="Arial" w:eastAsia="Times New Roman" w:hAnsi="Arial" w:cs="Arial"/>
          <w:i/>
        </w:rPr>
        <w:t xml:space="preserve">[along with other resources] </w:t>
      </w:r>
      <w:r w:rsidRPr="00E039B2">
        <w:rPr>
          <w:rFonts w:ascii="Arial" w:eastAsia="Times New Roman" w:hAnsi="Arial" w:cs="Arial"/>
        </w:rPr>
        <w:t xml:space="preserve">were used to purchase U.S. government securities. These securities were deposited into an irrevocable trust to provide for all future debt service payments on the refunded bonds. As a result, the refunded bonds are considered to be defeased and the liability has been removed from the Department’s Statement of Net Position. The substitution of essentially risk-free monetary assets with monetary assets that are not essentially risk-free is not prohibited. </w:t>
      </w:r>
      <w:r w:rsidRPr="00E039B2">
        <w:rPr>
          <w:rFonts w:ascii="Arial" w:eastAsia="Times New Roman" w:hAnsi="Arial" w:cs="Arial"/>
          <w:b/>
          <w:i/>
          <w:color w:val="0000FF"/>
        </w:rPr>
        <w:t xml:space="preserve">[Note to Preparer: Departments should review trust or escrow agreements, bond indentures, etc. to determine if the substitution of risk-free monetary assets for in-substance </w:t>
      </w:r>
      <w:r w:rsidRPr="00E039B2">
        <w:rPr>
          <w:rFonts w:ascii="Arial" w:eastAsia="Times New Roman" w:hAnsi="Arial" w:cs="Arial"/>
          <w:b/>
          <w:i/>
          <w:color w:val="0000FF"/>
        </w:rPr>
        <w:lastRenderedPageBreak/>
        <w:t xml:space="preserve">defeasance transactions is prohibited. If substitution is prohibited, delete the previous sentence.] </w:t>
      </w:r>
      <w:r w:rsidRPr="00E039B2">
        <w:rPr>
          <w:rFonts w:ascii="Arial" w:eastAsia="Times New Roman" w:hAnsi="Arial" w:cs="Arial"/>
        </w:rPr>
        <w:t xml:space="preserve">This advance refunding was undertaken to reduce total debt service payments by $_____ over the next ___years and resulted in an economic gain of $____. At June 30, </w:t>
      </w:r>
      <w:r w:rsidRPr="00E039B2">
        <w:rPr>
          <w:rFonts w:ascii="Arial" w:eastAsia="Times New Roman" w:hAnsi="Arial" w:cs="Arial"/>
          <w:highlight w:val="yellow"/>
        </w:rPr>
        <w:t>2020</w:t>
      </w:r>
      <w:r w:rsidRPr="00E039B2">
        <w:rPr>
          <w:rFonts w:ascii="Arial" w:eastAsia="Times New Roman" w:hAnsi="Arial" w:cs="Arial"/>
        </w:rPr>
        <w:t xml:space="preserve">, the outstanding balance was $_______ for the defeased </w:t>
      </w:r>
      <w:r w:rsidRPr="00E039B2">
        <w:rPr>
          <w:rFonts w:ascii="Arial" w:eastAsia="Times New Roman" w:hAnsi="Arial" w:cs="Arial"/>
          <w:b/>
          <w:color w:val="0000FF"/>
        </w:rPr>
        <w:t>[Title of Old Issue]</w:t>
      </w:r>
      <w:r w:rsidRPr="00E039B2">
        <w:rPr>
          <w:rFonts w:ascii="Arial" w:eastAsia="Times New Roman" w:hAnsi="Arial" w:cs="Arial"/>
          <w:i/>
        </w:rPr>
        <w:t xml:space="preserve"> </w:t>
      </w:r>
      <w:r w:rsidRPr="00E039B2">
        <w:rPr>
          <w:rFonts w:ascii="Arial" w:eastAsia="Times New Roman" w:hAnsi="Arial" w:cs="Arial"/>
        </w:rPr>
        <w:t>bonds.</w:t>
      </w:r>
    </w:p>
    <w:p w14:paraId="2FB32DA3" w14:textId="6C0DCB62"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b/>
        </w:rPr>
        <w:t xml:space="preserve">Prior Year Defeasances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During prior years, the Department defeased certain bonds by placing the proceeds of new bonds in an irrevocable trust to provide for all future debt service payments on the old bonds. Accordingly, the trust account assets and the liability for the defeased bonds are not included in the Department’s financial statements. At June 30,</w:t>
      </w:r>
      <w:r w:rsidR="003C24F6" w:rsidRPr="003C24F6">
        <w:rPr>
          <w:rFonts w:ascii="Arial" w:eastAsia="Times New Roman" w:hAnsi="Arial" w:cs="Arial"/>
        </w:rPr>
        <w:t xml:space="preserve"> </w:t>
      </w:r>
      <w:r w:rsidRPr="00E039B2">
        <w:rPr>
          <w:rFonts w:ascii="Arial" w:eastAsia="Times New Roman" w:hAnsi="Arial" w:cs="Arial"/>
          <w:highlight w:val="yellow"/>
        </w:rPr>
        <w:t>2020</w:t>
      </w:r>
      <w:r w:rsidRPr="00E039B2">
        <w:rPr>
          <w:rFonts w:ascii="Arial" w:eastAsia="Times New Roman" w:hAnsi="Arial" w:cs="Arial"/>
        </w:rPr>
        <w:t>, the outstanding balance of prior year defeased bonds was $_________.</w:t>
      </w:r>
    </w:p>
    <w:p w14:paraId="07EA889B" w14:textId="685DCC09"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For certain prior year defeasances, the substitution of essentially risk-free monetary assets with monetary assets that are essentially risk-free is not prohibited. At June 30, </w:t>
      </w:r>
      <w:r w:rsidRPr="00E039B2">
        <w:rPr>
          <w:rFonts w:ascii="Arial" w:eastAsia="Times New Roman" w:hAnsi="Arial" w:cs="Arial"/>
          <w:highlight w:val="yellow"/>
        </w:rPr>
        <w:t>2020</w:t>
      </w:r>
      <w:r w:rsidRPr="00E039B2">
        <w:rPr>
          <w:rFonts w:ascii="Arial" w:eastAsia="Times New Roman" w:hAnsi="Arial" w:cs="Arial"/>
        </w:rPr>
        <w:t xml:space="preserve">, the outstanding balance of prior year defeased bonds for which substitution is not prohibited was $________. </w:t>
      </w:r>
      <w:r w:rsidRPr="00E039B2">
        <w:rPr>
          <w:rFonts w:ascii="Arial" w:eastAsia="Times New Roman" w:hAnsi="Arial" w:cs="Arial"/>
          <w:b/>
          <w:i/>
          <w:color w:val="0000FF"/>
        </w:rPr>
        <w:t>[Note to Preparer: Departments should review trust or escrow agreements, bond indentures, etc. to determine if the substitution of risk-free monetary assets for in-substance defeasance transactions is prohibited. Delete this paragraph if substitution is prohibited.]</w:t>
      </w:r>
      <w:r w:rsidRPr="00E039B2">
        <w:rPr>
          <w:rFonts w:ascii="Arial" w:eastAsia="Times New Roman" w:hAnsi="Arial" w:cs="Arial"/>
        </w:rPr>
        <w:t xml:space="preserve"> </w:t>
      </w:r>
    </w:p>
    <w:p w14:paraId="4B87533D" w14:textId="77777777" w:rsidR="001F7D9B" w:rsidRPr="00E039B2" w:rsidRDefault="001F7D9B" w:rsidP="001F7D9B">
      <w:pPr>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 xml:space="preserve">[Note to Preparer: If the Department defeased debt in the current year using only existing resources, </w:t>
      </w:r>
      <w:r w:rsidRPr="00E039B2">
        <w:rPr>
          <w:rFonts w:ascii="Arial" w:eastAsia="Times New Roman" w:hAnsi="Arial" w:cs="Arial"/>
          <w:b/>
          <w:i/>
          <w:color w:val="0000FF"/>
          <w:u w:val="single"/>
        </w:rPr>
        <w:t>or</w:t>
      </w:r>
      <w:r w:rsidRPr="00E039B2">
        <w:rPr>
          <w:rFonts w:ascii="Arial" w:eastAsia="Times New Roman" w:hAnsi="Arial" w:cs="Arial"/>
          <w:b/>
          <w:i/>
          <w:color w:val="0000FF"/>
        </w:rPr>
        <w:t xml:space="preserve"> defeased debt in prior years using only existing resources, additional note disclosures are required. Refer to GASB ¶ 7-8 for guidance regarding the additional required disclosures.]</w:t>
      </w:r>
    </w:p>
    <w:p w14:paraId="21911617" w14:textId="77777777" w:rsidR="001F7D9B" w:rsidRPr="00E039B2" w:rsidRDefault="001F7D9B" w:rsidP="001F7D9B">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rPr>
        <w:t>I.</w:t>
      </w:r>
      <w:r w:rsidRPr="00E039B2">
        <w:rPr>
          <w:rFonts w:ascii="Arial" w:eastAsia="Times New Roman" w:hAnsi="Arial" w:cs="Arial"/>
          <w:b/>
        </w:rPr>
        <w:tab/>
        <w:t xml:space="preserve">Bond Anticipation Notes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On </w:t>
      </w:r>
      <w:r w:rsidRPr="00E039B2">
        <w:rPr>
          <w:rFonts w:ascii="Arial" w:eastAsia="Times New Roman" w:hAnsi="Arial" w:cs="Arial"/>
          <w:b/>
          <w:i/>
          <w:color w:val="0000FF"/>
        </w:rPr>
        <w:t>[Date]</w:t>
      </w:r>
      <w:r w:rsidRPr="00E039B2">
        <w:rPr>
          <w:rFonts w:ascii="Arial" w:eastAsia="Times New Roman" w:hAnsi="Arial" w:cs="Arial"/>
        </w:rPr>
        <w:t xml:space="preserve">, the Department entered into a loan agreement with </w:t>
      </w:r>
      <w:r w:rsidRPr="00E039B2">
        <w:rPr>
          <w:rFonts w:ascii="Arial" w:eastAsia="Times New Roman" w:hAnsi="Arial" w:cs="Arial"/>
          <w:b/>
          <w:i/>
          <w:color w:val="0000FF"/>
        </w:rPr>
        <w:t>[Lending Institution]</w:t>
      </w:r>
      <w:r w:rsidRPr="00E039B2">
        <w:rPr>
          <w:rFonts w:ascii="Arial" w:eastAsia="Times New Roman" w:hAnsi="Arial" w:cs="Arial"/>
        </w:rPr>
        <w:t xml:space="preserve"> for $________ to be repaid with bond proceeds received in </w:t>
      </w:r>
      <w:r w:rsidRPr="00E039B2">
        <w:rPr>
          <w:rFonts w:ascii="Arial" w:eastAsia="Times New Roman" w:hAnsi="Arial" w:cs="Arial"/>
          <w:b/>
          <w:i/>
          <w:color w:val="0000FF"/>
        </w:rPr>
        <w:t xml:space="preserve">[Date] </w:t>
      </w:r>
      <w:r w:rsidRPr="00E039B2">
        <w:rPr>
          <w:rFonts w:ascii="Arial" w:eastAsia="Times New Roman" w:hAnsi="Arial" w:cs="Arial"/>
        </w:rPr>
        <w:t xml:space="preserve">as disclosed in Subsequent Event Note ___. </w:t>
      </w:r>
      <w:r w:rsidRPr="00E039B2">
        <w:rPr>
          <w:rFonts w:ascii="Arial" w:eastAsia="Times New Roman" w:hAnsi="Arial" w:cs="Arial"/>
          <w:b/>
          <w:i/>
          <w:color w:val="0000FF"/>
        </w:rPr>
        <w:t>[Provide a description of what the proceeds were used to finance]</w:t>
      </w:r>
      <w:r w:rsidRPr="00E039B2">
        <w:rPr>
          <w:rFonts w:ascii="Arial" w:eastAsia="Times New Roman" w:hAnsi="Arial" w:cs="Arial"/>
        </w:rPr>
        <w:t xml:space="preserve">. </w:t>
      </w:r>
    </w:p>
    <w:p w14:paraId="56093C68" w14:textId="77777777" w:rsidR="001F7D9B" w:rsidRPr="00E039B2" w:rsidRDefault="001F7D9B" w:rsidP="001F7D9B">
      <w:pPr>
        <w:tabs>
          <w:tab w:val="left" w:pos="1560"/>
        </w:tabs>
        <w:spacing w:after="240" w:line="240" w:lineRule="auto"/>
        <w:ind w:left="1915"/>
        <w:jc w:val="both"/>
        <w:rPr>
          <w:rFonts w:ascii="Arial" w:eastAsia="Times New Roman" w:hAnsi="Arial" w:cs="Arial"/>
          <w:b/>
          <w:i/>
          <w:color w:val="0000FF"/>
        </w:rPr>
      </w:pPr>
      <w:r w:rsidRPr="00E039B2">
        <w:rPr>
          <w:rFonts w:ascii="Arial" w:eastAsia="Times New Roman" w:hAnsi="Arial" w:cs="Arial"/>
          <w:b/>
          <w:i/>
          <w:color w:val="0000FF"/>
        </w:rPr>
        <w:t xml:space="preserve">[Bond anticipation notes should be classified as long-term debt if the following conditions are met: (1) the government intends to refinance the obligation on a long-term basis and (2) the government has the ability to consummate the refinancing. The government has the ability to consummate refinancing if either of the following conditions are met: </w:t>
      </w:r>
    </w:p>
    <w:p w14:paraId="3B5F49A2" w14:textId="77777777" w:rsidR="001F7D9B" w:rsidRPr="00E039B2" w:rsidRDefault="001F7D9B" w:rsidP="001F7D9B">
      <w:pPr>
        <w:numPr>
          <w:ilvl w:val="0"/>
          <w:numId w:val="21"/>
        </w:numPr>
        <w:spacing w:after="240" w:line="240" w:lineRule="auto"/>
        <w:jc w:val="both"/>
        <w:rPr>
          <w:rFonts w:ascii="Arial" w:eastAsia="Times New Roman" w:hAnsi="Arial" w:cs="Arial"/>
          <w:b/>
          <w:i/>
          <w:color w:val="0000FF"/>
        </w:rPr>
      </w:pPr>
      <w:r w:rsidRPr="00E039B2">
        <w:rPr>
          <w:rFonts w:ascii="Arial" w:eastAsia="Times New Roman" w:hAnsi="Arial" w:cs="Arial"/>
          <w:b/>
          <w:i/>
          <w:color w:val="0000FF"/>
        </w:rPr>
        <w:t>After the date of a government’s financial statement but before those financial statements are issued, a long-term obligation has been issued for the purpose of refinancing the short-term obligation on a long-term basis or</w:t>
      </w:r>
    </w:p>
    <w:p w14:paraId="51989C40" w14:textId="77777777" w:rsidR="001F7D9B" w:rsidRPr="00E039B2" w:rsidRDefault="001F7D9B" w:rsidP="001F7D9B">
      <w:pPr>
        <w:numPr>
          <w:ilvl w:val="0"/>
          <w:numId w:val="21"/>
        </w:numPr>
        <w:spacing w:after="240" w:line="240" w:lineRule="auto"/>
        <w:jc w:val="both"/>
        <w:rPr>
          <w:rFonts w:ascii="Arial" w:eastAsia="Times New Roman" w:hAnsi="Arial" w:cs="Arial"/>
          <w:b/>
          <w:i/>
          <w:color w:val="0000FF"/>
        </w:rPr>
      </w:pPr>
      <w:r w:rsidRPr="00E039B2">
        <w:rPr>
          <w:rFonts w:ascii="Arial" w:eastAsia="Times New Roman" w:hAnsi="Arial" w:cs="Arial"/>
          <w:b/>
          <w:i/>
          <w:color w:val="0000FF"/>
        </w:rPr>
        <w:t xml:space="preserve">Before the financial statements are issued, the government has entered into a financing agreement that </w:t>
      </w:r>
      <w:r w:rsidRPr="00E039B2">
        <w:rPr>
          <w:rFonts w:ascii="Arial" w:eastAsia="Times New Roman" w:hAnsi="Arial" w:cs="Arial"/>
          <w:b/>
          <w:i/>
          <w:color w:val="0000FF"/>
        </w:rPr>
        <w:lastRenderedPageBreak/>
        <w:t>clearly permits the government to refinance the short-term obligation on a long-term basis</w:t>
      </w:r>
    </w:p>
    <w:p w14:paraId="66AF1944" w14:textId="77777777" w:rsidR="001F7D9B" w:rsidRPr="00E039B2" w:rsidRDefault="001F7D9B" w:rsidP="001F7D9B">
      <w:pPr>
        <w:tabs>
          <w:tab w:val="left" w:pos="1560"/>
        </w:tabs>
        <w:spacing w:after="240" w:line="240" w:lineRule="auto"/>
        <w:ind w:left="2880" w:hanging="1440"/>
        <w:jc w:val="both"/>
        <w:rPr>
          <w:rFonts w:ascii="Arial" w:eastAsia="Times New Roman" w:hAnsi="Arial" w:cs="Arial"/>
          <w:i/>
          <w:color w:val="0000FF"/>
        </w:rPr>
      </w:pPr>
      <w:r w:rsidRPr="00E039B2">
        <w:rPr>
          <w:rFonts w:ascii="Arial" w:eastAsia="Times New Roman" w:hAnsi="Arial" w:cs="Arial"/>
          <w:b/>
        </w:rPr>
        <w:tab/>
      </w:r>
      <w:r w:rsidRPr="00E039B2">
        <w:rPr>
          <w:rFonts w:ascii="Arial" w:eastAsia="Times New Roman" w:hAnsi="Arial" w:cs="Arial"/>
          <w:b/>
        </w:rPr>
        <w:tab/>
      </w:r>
      <w:r w:rsidRPr="00E039B2">
        <w:rPr>
          <w:rFonts w:ascii="Arial" w:eastAsia="Times New Roman" w:hAnsi="Arial" w:cs="Arial"/>
          <w:b/>
          <w:i/>
          <w:color w:val="0000FF"/>
        </w:rPr>
        <w:t>See GASB Statement 62 paragraph 36-40]</w:t>
      </w:r>
    </w:p>
    <w:p w14:paraId="6669339F" w14:textId="77777777" w:rsidR="001F7D9B" w:rsidRPr="00E039B2" w:rsidRDefault="001F7D9B" w:rsidP="001F7D9B">
      <w:pPr>
        <w:tabs>
          <w:tab w:val="left" w:pos="1560"/>
        </w:tabs>
        <w:spacing w:after="240" w:line="240" w:lineRule="auto"/>
        <w:ind w:left="1915" w:hanging="475"/>
        <w:jc w:val="both"/>
        <w:rPr>
          <w:rFonts w:ascii="Arial" w:eastAsia="Times New Roman" w:hAnsi="Arial" w:cs="Arial"/>
          <w:color w:val="000000"/>
        </w:rPr>
      </w:pPr>
      <w:r w:rsidRPr="00E039B2">
        <w:rPr>
          <w:rFonts w:ascii="Arial" w:eastAsia="Times New Roman" w:hAnsi="Arial" w:cs="Arial"/>
          <w:b/>
        </w:rPr>
        <w:t>J.</w:t>
      </w:r>
      <w:r w:rsidRPr="00E039B2">
        <w:rPr>
          <w:rFonts w:ascii="Arial" w:eastAsia="Times New Roman" w:hAnsi="Arial" w:cs="Arial"/>
          <w:b/>
        </w:rPr>
        <w:tab/>
        <w:t xml:space="preserve">Annuities Payable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[Provide description of annuities payable, if applicable.]</w:t>
      </w:r>
      <w:r w:rsidRPr="00E039B2">
        <w:rPr>
          <w:rFonts w:ascii="Arial" w:eastAsia="Times New Roman" w:hAnsi="Arial" w:cs="Arial"/>
          <w:color w:val="000000"/>
        </w:rPr>
        <w:t>:</w:t>
      </w:r>
    </w:p>
    <w:p w14:paraId="6CEE4682" w14:textId="77777777" w:rsidR="001F7D9B" w:rsidRPr="00E039B2" w:rsidRDefault="001F7D9B" w:rsidP="001F7D9B">
      <w:pPr>
        <w:tabs>
          <w:tab w:val="left" w:pos="1560"/>
        </w:tabs>
        <w:spacing w:after="240" w:line="240" w:lineRule="auto"/>
        <w:ind w:left="1915" w:hanging="475"/>
        <w:jc w:val="both"/>
        <w:rPr>
          <w:rFonts w:ascii="Arial" w:eastAsia="Times New Roman" w:hAnsi="Arial" w:cs="Arial"/>
          <w:color w:val="000000"/>
        </w:rPr>
      </w:pPr>
      <w:r w:rsidRPr="00E039B2">
        <w:rPr>
          <w:rFonts w:ascii="Arial" w:eastAsia="Times New Roman" w:hAnsi="Arial" w:cs="Arial"/>
          <w:b/>
        </w:rPr>
        <w:t>K.</w:t>
      </w:r>
      <w:r w:rsidRPr="00E039B2">
        <w:rPr>
          <w:rFonts w:ascii="Arial" w:eastAsia="Times New Roman" w:hAnsi="Arial" w:cs="Arial"/>
          <w:b/>
        </w:rPr>
        <w:tab/>
        <w:t xml:space="preserve">Pollution Remediation Payable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[See GASB 49, Accounting and Financial Reporting for Pollution Remediation Obligations. An example is provided as follows.]</w:t>
      </w:r>
      <w:r w:rsidRPr="00E039B2">
        <w:rPr>
          <w:rFonts w:ascii="Arial" w:eastAsia="Times New Roman" w:hAnsi="Arial" w:cs="Arial"/>
          <w:color w:val="000000"/>
        </w:rPr>
        <w:t xml:space="preserve"> </w:t>
      </w:r>
      <w:r w:rsidRPr="00E039B2">
        <w:rPr>
          <w:rFonts w:ascii="Arial" w:eastAsia="Times New Roman" w:hAnsi="Arial" w:cs="Arial"/>
        </w:rPr>
        <w:t xml:space="preserve">The Department has recognized a pollution remediation liability for </w:t>
      </w:r>
      <w:r w:rsidRPr="00E039B2">
        <w:rPr>
          <w:rFonts w:ascii="Arial" w:eastAsia="Times New Roman" w:hAnsi="Arial" w:cs="Arial"/>
          <w:b/>
          <w:color w:val="0000FF"/>
        </w:rPr>
        <w:t>[describe the nature and source of liability]</w:t>
      </w:r>
      <w:r w:rsidRPr="00E039B2">
        <w:rPr>
          <w:rFonts w:ascii="Arial" w:eastAsia="Times New Roman" w:hAnsi="Arial" w:cs="Arial"/>
          <w:color w:val="000000"/>
        </w:rPr>
        <w:t xml:space="preserve">. </w:t>
      </w:r>
      <w:r w:rsidRPr="00E039B2">
        <w:rPr>
          <w:rFonts w:ascii="Arial" w:eastAsia="Times New Roman" w:hAnsi="Arial" w:cs="Arial"/>
        </w:rPr>
        <w:t xml:space="preserve">The amount of the estimated liability is $__________. This estimate was calculated </w:t>
      </w:r>
      <w:r w:rsidRPr="00E039B2">
        <w:rPr>
          <w:rFonts w:ascii="Arial" w:eastAsia="Times New Roman" w:hAnsi="Arial" w:cs="Arial"/>
          <w:b/>
          <w:color w:val="0000FF"/>
        </w:rPr>
        <w:t>[describe the methods and assumptions used when calculating the estimated liability]</w:t>
      </w:r>
      <w:r w:rsidRPr="00E039B2">
        <w:rPr>
          <w:rFonts w:ascii="Arial" w:eastAsia="Times New Roman" w:hAnsi="Arial" w:cs="Arial"/>
        </w:rPr>
        <w:t xml:space="preserve">. This liability is subject to potential changes due to </w:t>
      </w:r>
      <w:r w:rsidRPr="00E039B2">
        <w:rPr>
          <w:rFonts w:ascii="Arial" w:eastAsia="Times New Roman" w:hAnsi="Arial" w:cs="Arial"/>
          <w:b/>
          <w:color w:val="0000FF"/>
        </w:rPr>
        <w:t>[describe potential changes; for example, price increases or reductions, technology, or applicable laws or regulations]</w:t>
      </w:r>
      <w:r w:rsidRPr="00E039B2">
        <w:rPr>
          <w:rFonts w:ascii="Arial" w:eastAsia="Times New Roman" w:hAnsi="Arial" w:cs="Arial"/>
          <w:color w:val="000000"/>
        </w:rPr>
        <w:t xml:space="preserve">. </w:t>
      </w:r>
      <w:r w:rsidRPr="00E039B2">
        <w:rPr>
          <w:rFonts w:ascii="Arial" w:eastAsia="Times New Roman" w:hAnsi="Arial" w:cs="Arial"/>
        </w:rPr>
        <w:t xml:space="preserve">The amount of the estimated recoveries for this estimated liability is $___________. </w:t>
      </w:r>
      <w:r w:rsidRPr="00E039B2">
        <w:rPr>
          <w:rFonts w:ascii="Arial" w:eastAsia="Times New Roman" w:hAnsi="Arial" w:cs="Arial"/>
          <w:b/>
          <w:i/>
          <w:color w:val="0000FF"/>
        </w:rPr>
        <w:t>[Omit if not applicable. Modify as necessary.]</w:t>
      </w:r>
    </w:p>
    <w:p w14:paraId="0C13CAB6" w14:textId="77777777" w:rsidR="001F7D9B" w:rsidRPr="00E039B2" w:rsidRDefault="001F7D9B" w:rsidP="001F7D9B">
      <w:pPr>
        <w:spacing w:after="240" w:line="240" w:lineRule="auto"/>
        <w:ind w:left="1915"/>
        <w:jc w:val="both"/>
        <w:rPr>
          <w:rFonts w:ascii="Arial" w:eastAsia="Times New Roman" w:hAnsi="Arial" w:cs="Arial"/>
          <w:b/>
          <w:i/>
          <w:color w:val="0000FF"/>
        </w:rPr>
      </w:pPr>
      <w:r w:rsidRPr="00E039B2">
        <w:rPr>
          <w:rFonts w:ascii="Arial" w:eastAsia="Times New Roman" w:hAnsi="Arial" w:cs="Arial"/>
        </w:rPr>
        <w:t xml:space="preserve">The Department has a pollution remediation liability that could not yet be recognized because it is not reasonably estimable. This liability is </w:t>
      </w:r>
      <w:r w:rsidRPr="00E039B2">
        <w:rPr>
          <w:rFonts w:ascii="Arial" w:eastAsia="Times New Roman" w:hAnsi="Arial" w:cs="Arial"/>
          <w:b/>
          <w:color w:val="0000FF"/>
        </w:rPr>
        <w:t>[provide a general description of the nature of the pollution remediation activities]</w:t>
      </w:r>
      <w:r w:rsidRPr="00E039B2">
        <w:rPr>
          <w:rFonts w:ascii="Arial" w:eastAsia="Times New Roman" w:hAnsi="Arial" w:cs="Arial"/>
          <w:color w:val="000000"/>
        </w:rPr>
        <w:t>.</w:t>
      </w:r>
      <w:r w:rsidRPr="00E039B2">
        <w:rPr>
          <w:rFonts w:ascii="Arial" w:eastAsia="Times New Roman" w:hAnsi="Arial" w:cs="Arial"/>
          <w:b/>
          <w:i/>
          <w:color w:val="0000FF"/>
        </w:rPr>
        <w:t xml:space="preserve"> [Omit if not applicable. Modify as necessary.]</w:t>
      </w:r>
    </w:p>
    <w:p w14:paraId="6E5467BB" w14:textId="77777777" w:rsidR="001F7D9B" w:rsidRPr="00E039B2" w:rsidRDefault="001F7D9B" w:rsidP="001F7D9B">
      <w:pPr>
        <w:spacing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L.</w:t>
      </w:r>
      <w:r w:rsidRPr="00E039B2">
        <w:rPr>
          <w:rFonts w:ascii="Arial" w:eastAsia="Times New Roman" w:hAnsi="Arial" w:cs="Arial"/>
          <w:b/>
        </w:rPr>
        <w:tab/>
        <w:t xml:space="preserve">Asset Retirement Obligations </w:t>
      </w:r>
      <w:r w:rsidRPr="00E039B2">
        <w:rPr>
          <w:rFonts w:ascii="Arial" w:eastAsia="Times New Roman" w:hAnsi="Arial" w:cs="Arial"/>
        </w:rPr>
        <w:t xml:space="preserve">- </w:t>
      </w:r>
      <w:r w:rsidRPr="00E039B2">
        <w:rPr>
          <w:rFonts w:ascii="Arial" w:eastAsia="Times New Roman" w:hAnsi="Arial" w:cs="Arial"/>
          <w:b/>
          <w:i/>
          <w:color w:val="0000FF"/>
        </w:rPr>
        <w:t>[See GASB 83 para. 27-29 for specific disclosure requirements. An example is provided as follows.]</w:t>
      </w:r>
      <w:r w:rsidRPr="00E039B2">
        <w:rPr>
          <w:rFonts w:ascii="Arial" w:eastAsia="Times New Roman" w:hAnsi="Arial" w:cs="Arial"/>
        </w:rPr>
        <w:t xml:space="preserve"> The Department has recognized asset retirement obligations for </w:t>
      </w:r>
      <w:r w:rsidRPr="00E039B2">
        <w:rPr>
          <w:rFonts w:ascii="Arial" w:eastAsia="Times New Roman" w:hAnsi="Arial" w:cs="Arial"/>
          <w:b/>
          <w:color w:val="0000FF"/>
        </w:rPr>
        <w:t>[describe the nature and source of obligation(s). Should include information about the associated capital asset]</w:t>
      </w:r>
      <w:r w:rsidRPr="00E039B2">
        <w:rPr>
          <w:rFonts w:ascii="Arial" w:eastAsia="Times New Roman" w:hAnsi="Arial" w:cs="Arial"/>
        </w:rPr>
        <w:t xml:space="preserve">. The amount of the estimated liability is $________. This estimate was calculated </w:t>
      </w:r>
      <w:r w:rsidRPr="00E039B2">
        <w:rPr>
          <w:rFonts w:ascii="Arial" w:eastAsia="Times New Roman" w:hAnsi="Arial" w:cs="Arial"/>
          <w:b/>
          <w:color w:val="0000FF"/>
        </w:rPr>
        <w:t>[describe the methods and assumptions used to measure the liability]</w:t>
      </w:r>
      <w:r w:rsidRPr="00E039B2">
        <w:rPr>
          <w:rFonts w:ascii="Arial" w:eastAsia="Times New Roman" w:hAnsi="Arial" w:cs="Arial"/>
        </w:rPr>
        <w:t xml:space="preserve">. The estimated remaining useful life for </w:t>
      </w:r>
      <w:r w:rsidRPr="00E039B2">
        <w:rPr>
          <w:rFonts w:ascii="Arial" w:eastAsia="Times New Roman" w:hAnsi="Arial" w:cs="Arial"/>
          <w:b/>
          <w:color w:val="0000FF"/>
        </w:rPr>
        <w:t>[associated capital asset]</w:t>
      </w:r>
      <w:r w:rsidRPr="00E039B2">
        <w:rPr>
          <w:rFonts w:ascii="Arial" w:eastAsia="Times New Roman" w:hAnsi="Arial" w:cs="Arial"/>
        </w:rPr>
        <w:t xml:space="preserve"> is </w:t>
      </w:r>
      <w:r w:rsidRPr="00E039B2">
        <w:rPr>
          <w:rFonts w:ascii="Arial" w:eastAsia="Times New Roman" w:hAnsi="Arial" w:cs="Arial"/>
          <w:b/>
          <w:color w:val="0000FF"/>
        </w:rPr>
        <w:t>XX</w:t>
      </w:r>
      <w:r w:rsidRPr="00E039B2">
        <w:rPr>
          <w:rFonts w:ascii="Arial" w:eastAsia="Times New Roman" w:hAnsi="Arial" w:cs="Arial"/>
        </w:rPr>
        <w:t xml:space="preserve"> years. Funding and assurance provisions associated with this obligation are being met through the use of </w:t>
      </w:r>
      <w:r w:rsidRPr="00E039B2">
        <w:rPr>
          <w:rFonts w:ascii="Arial" w:eastAsia="Times New Roman" w:hAnsi="Arial" w:cs="Arial"/>
          <w:b/>
          <w:color w:val="0000FF"/>
        </w:rPr>
        <w:t>[surety bonds, insurance policies, letters of credit, etc.]</w:t>
      </w:r>
      <w:r w:rsidRPr="00E039B2">
        <w:rPr>
          <w:rFonts w:ascii="Arial" w:eastAsia="Times New Roman" w:hAnsi="Arial" w:cs="Arial"/>
        </w:rPr>
        <w:t xml:space="preserve">. Assets in the amount of $_______ are restricted for the payment of these obligations. </w:t>
      </w:r>
      <w:r w:rsidRPr="00E039B2">
        <w:rPr>
          <w:rFonts w:ascii="Arial" w:eastAsia="Times New Roman" w:hAnsi="Arial" w:cs="Arial"/>
          <w:b/>
          <w:i/>
          <w:color w:val="0000FF"/>
        </w:rPr>
        <w:t>[Omit if not applicable. Modify as necessary.]</w:t>
      </w:r>
    </w:p>
    <w:p w14:paraId="371C52F1" w14:textId="77777777" w:rsidR="001F7D9B" w:rsidRPr="00E039B2" w:rsidRDefault="001F7D9B" w:rsidP="001F7D9B">
      <w:pPr>
        <w:spacing w:after="240" w:line="240" w:lineRule="auto"/>
        <w:ind w:left="1915"/>
        <w:jc w:val="both"/>
        <w:rPr>
          <w:rFonts w:ascii="Arial" w:eastAsia="Times New Roman" w:hAnsi="Arial" w:cs="Arial"/>
          <w:b/>
        </w:rPr>
      </w:pPr>
      <w:r w:rsidRPr="00E039B2">
        <w:rPr>
          <w:rFonts w:ascii="Arial" w:eastAsia="Times New Roman" w:hAnsi="Arial" w:cs="Arial"/>
        </w:rPr>
        <w:t xml:space="preserve">The Department has an asset retirement obligation that could not yet be recognized because it is not reasonably estimable. This liability </w:t>
      </w:r>
      <w:r w:rsidRPr="00E039B2">
        <w:rPr>
          <w:rFonts w:ascii="Arial" w:eastAsia="Times New Roman" w:hAnsi="Arial" w:cs="Arial"/>
          <w:b/>
          <w:color w:val="0000FF"/>
        </w:rPr>
        <w:t>[provide a general description of the nature of the obligation and reasons it is not reasonably estimable]</w:t>
      </w:r>
      <w:r w:rsidRPr="00E039B2">
        <w:rPr>
          <w:rFonts w:ascii="Arial" w:eastAsia="Times New Roman" w:hAnsi="Arial" w:cs="Arial"/>
          <w:b/>
        </w:rPr>
        <w:t xml:space="preserve">. </w:t>
      </w:r>
      <w:r w:rsidRPr="00E039B2">
        <w:rPr>
          <w:rFonts w:ascii="Arial" w:eastAsia="Times New Roman" w:hAnsi="Arial" w:cs="Arial"/>
          <w:b/>
          <w:i/>
          <w:color w:val="0000FF"/>
        </w:rPr>
        <w:t>[Omit if not applicable. Modify as necessary.]</w:t>
      </w:r>
    </w:p>
    <w:p w14:paraId="54A6B181"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 xml:space="preserve">The Department has a minority share of an asset retirement obligation related to </w:t>
      </w:r>
      <w:r w:rsidRPr="00E039B2">
        <w:rPr>
          <w:rFonts w:ascii="Arial" w:eastAsia="Times New Roman" w:hAnsi="Arial" w:cs="Arial"/>
          <w:b/>
          <w:color w:val="0000FF"/>
        </w:rPr>
        <w:t>[disclose asset and joint agreement. See GASB 83, paragraph 29 for required elements]</w:t>
      </w:r>
      <w:r w:rsidRPr="00E039B2">
        <w:rPr>
          <w:rFonts w:ascii="Arial" w:eastAsia="Times New Roman" w:hAnsi="Arial" w:cs="Arial"/>
        </w:rPr>
        <w:t xml:space="preserve">. </w:t>
      </w:r>
      <w:r w:rsidRPr="00E039B2">
        <w:rPr>
          <w:rFonts w:ascii="Arial" w:eastAsia="Times New Roman" w:hAnsi="Arial" w:cs="Arial"/>
          <w:b/>
          <w:i/>
          <w:color w:val="0000FF"/>
        </w:rPr>
        <w:t>[Omit if not applicable. Modify as necessary.]</w:t>
      </w:r>
    </w:p>
    <w:p w14:paraId="19F4866B" w14:textId="41DFC23D" w:rsidR="001F7D9B" w:rsidRPr="00E039B2" w:rsidRDefault="001F7D9B" w:rsidP="001F7D9B">
      <w:pPr>
        <w:spacing w:after="240" w:line="240" w:lineRule="auto"/>
        <w:ind w:left="1440"/>
        <w:jc w:val="both"/>
        <w:rPr>
          <w:rFonts w:ascii="Arial" w:eastAsia="Times New Roman" w:hAnsi="Arial" w:cs="Arial"/>
          <w:b/>
          <w:bCs/>
          <w:i/>
          <w:color w:val="0000FF"/>
        </w:rPr>
      </w:pPr>
      <w:r w:rsidRPr="00E039B2">
        <w:rPr>
          <w:rFonts w:ascii="Arial Bold" w:eastAsia="Times New Roman" w:hAnsi="Arial Bold" w:cs="Arial"/>
          <w:b/>
          <w:bCs/>
          <w:color w:val="000000"/>
        </w:rPr>
        <w:lastRenderedPageBreak/>
        <w:t>Component Unit(s)</w:t>
      </w:r>
      <w:r w:rsidRPr="00E039B2">
        <w:rPr>
          <w:rFonts w:ascii="Arial" w:eastAsia="Times New Roman" w:hAnsi="Arial" w:cs="Arial"/>
          <w:b/>
          <w:bCs/>
          <w:color w:val="0000FF"/>
        </w:rPr>
        <w:t xml:space="preserve"> </w:t>
      </w:r>
      <w:r w:rsidRPr="00E039B2">
        <w:rPr>
          <w:rFonts w:ascii="Arial" w:eastAsia="Times New Roman" w:hAnsi="Arial" w:cs="Arial"/>
          <w:b/>
          <w:bCs/>
          <w:i/>
          <w:color w:val="0000FF"/>
        </w:rPr>
        <w:t>[If the Department has discretely presented component units with material long</w:t>
      </w:r>
      <w:r w:rsidRPr="00E039B2">
        <w:rPr>
          <w:rFonts w:ascii="Arial" w:eastAsia="Times New Roman" w:hAnsi="Arial" w:cs="Arial"/>
          <w:b/>
          <w:bCs/>
          <w:i/>
          <w:color w:val="0000FF"/>
        </w:rPr>
        <w:noBreakHyphen/>
        <w:t>term liabilities, see component unit Audit report for applicable disclosures.]</w:t>
      </w:r>
    </w:p>
    <w:p w14:paraId="52FA118C" w14:textId="77777777" w:rsidR="001F7D9B" w:rsidRPr="00E039B2" w:rsidRDefault="001F7D9B" w:rsidP="001F7D9B">
      <w:pPr>
        <w:tabs>
          <w:tab w:val="left" w:pos="1080"/>
        </w:tabs>
        <w:spacing w:before="480" w:after="240" w:line="240" w:lineRule="auto"/>
        <w:rPr>
          <w:rFonts w:ascii="Arial" w:eastAsia="Times New Roman" w:hAnsi="Arial" w:cs="Arial"/>
          <w:b/>
          <w:smallCaps/>
        </w:rPr>
      </w:pPr>
      <w:r w:rsidRPr="00E039B2">
        <w:rPr>
          <w:rFonts w:ascii="Arial" w:eastAsia="Times New Roman" w:hAnsi="Arial" w:cs="Arial"/>
          <w:b/>
          <w:smallCaps/>
        </w:rPr>
        <w:t>Note 9</w:t>
      </w:r>
      <w:r w:rsidRPr="00E039B2">
        <w:rPr>
          <w:rFonts w:ascii="Arial" w:eastAsia="Times New Roman" w:hAnsi="Arial" w:cs="Arial"/>
          <w:b/>
          <w:smallCaps/>
        </w:rPr>
        <w:tab/>
        <w:t>-</w:t>
      </w:r>
      <w:r w:rsidRPr="00E039B2">
        <w:rPr>
          <w:rFonts w:ascii="Arial" w:eastAsia="Times New Roman" w:hAnsi="Arial" w:cs="Arial"/>
          <w:b/>
          <w:smallCaps/>
        </w:rPr>
        <w:tab/>
        <w:t>Lease Obligations</w:t>
      </w:r>
    </w:p>
    <w:p w14:paraId="5E8016D4" w14:textId="67EABE8E" w:rsidR="001F7D9B" w:rsidRPr="00E039B2" w:rsidRDefault="001F7D9B" w:rsidP="001F7D9B">
      <w:pPr>
        <w:numPr>
          <w:ilvl w:val="0"/>
          <w:numId w:val="29"/>
        </w:num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rPr>
        <w:t xml:space="preserve">Capital Lease Obligations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rPr>
        <w:t xml:space="preserve">Capital lease obligations relating to __________________________ </w:t>
      </w:r>
      <w:r w:rsidRPr="00E039B2">
        <w:rPr>
          <w:rFonts w:ascii="Arial" w:eastAsia="Times New Roman" w:hAnsi="Arial" w:cs="Arial"/>
          <w:b/>
          <w:i/>
          <w:color w:val="0000FF"/>
        </w:rPr>
        <w:t>[For example, equipment, computer servers]</w:t>
      </w:r>
      <w:r w:rsidRPr="00E039B2">
        <w:rPr>
          <w:rFonts w:ascii="Arial" w:eastAsia="Times New Roman" w:hAnsi="Arial" w:cs="Arial"/>
          <w:i/>
        </w:rPr>
        <w:t xml:space="preserve"> </w:t>
      </w:r>
      <w:r w:rsidRPr="00E039B2">
        <w:rPr>
          <w:rFonts w:ascii="Arial" w:eastAsia="Times New Roman" w:hAnsi="Arial" w:cs="Arial"/>
        </w:rPr>
        <w:t xml:space="preserve">are recorded at the present value of the minimum lease payments. Future minimum lease payments under capital lease obligations consist of the following at June 30, </w:t>
      </w:r>
      <w:r w:rsidRPr="00E039B2">
        <w:rPr>
          <w:rFonts w:ascii="Arial" w:eastAsia="Times New Roman" w:hAnsi="Arial" w:cs="Arial"/>
          <w:highlight w:val="yellow"/>
        </w:rPr>
        <w:t>2020</w:t>
      </w:r>
      <w:r w:rsidRPr="00E039B2">
        <w:rPr>
          <w:rFonts w:ascii="Arial" w:eastAsia="Times New Roman" w:hAnsi="Arial" w:cs="Arial"/>
        </w:rPr>
        <w:t>:</w:t>
      </w:r>
    </w:p>
    <w:p w14:paraId="72F89D3A" w14:textId="5A778DD3" w:rsidR="001F7D9B" w:rsidRPr="00E039B2" w:rsidRDefault="001F7D9B" w:rsidP="004A0566">
      <w:pPr>
        <w:tabs>
          <w:tab w:val="left" w:pos="1560"/>
        </w:tabs>
        <w:spacing w:after="240" w:line="240" w:lineRule="auto"/>
        <w:ind w:left="1915"/>
        <w:jc w:val="both"/>
        <w:rPr>
          <w:rFonts w:ascii="Arial" w:eastAsia="Times New Roman" w:hAnsi="Arial" w:cs="Arial"/>
        </w:rPr>
      </w:pPr>
      <w:r w:rsidRPr="00E039B2">
        <w:rPr>
          <w:rFonts w:ascii="Arial" w:eastAsia="Times New Roman" w:hAnsi="Arial" w:cs="Arial"/>
          <w:b/>
          <w:i/>
          <w:color w:val="0000FF"/>
        </w:rPr>
        <w:t>[Modify table below to distinguish between fund type as necessary]</w:t>
      </w:r>
      <w:r w:rsidRPr="00E039B2">
        <w:rPr>
          <w:rFonts w:ascii="Arial" w:eastAsia="Times New Roman" w:hAnsi="Arial" w:cs="Arial"/>
          <w:b/>
          <w:i/>
          <w:color w:val="0000FF"/>
        </w:rPr>
        <w:tab/>
      </w:r>
      <w:bookmarkStart w:id="36" w:name="_MON_1587905900"/>
      <w:bookmarkEnd w:id="36"/>
      <w:r w:rsidR="004A0566" w:rsidRPr="00E039B2">
        <w:rPr>
          <w:rFonts w:ascii="Arial" w:eastAsia="Times New Roman" w:hAnsi="Arial" w:cs="Arial"/>
        </w:rPr>
        <w:object w:dxaOrig="7583" w:dyaOrig="4408" w14:anchorId="4176FA72">
          <v:shape id="_x0000_i1040" type="#_x0000_t75" style="width:5in;height:222.75pt" o:ole="">
            <v:imagedata r:id="rId42" o:title=""/>
          </v:shape>
          <o:OLEObject Type="Embed" ProgID="Excel.Sheet.12" ShapeID="_x0000_i1040" DrawAspect="Content" ObjectID="_1661757469" r:id="rId43"/>
        </w:object>
      </w:r>
    </w:p>
    <w:p w14:paraId="46B4AE95" w14:textId="567C1700" w:rsidR="001F7D9B" w:rsidRPr="00E039B2" w:rsidRDefault="001F7D9B" w:rsidP="001F7D9B">
      <w:pPr>
        <w:spacing w:before="480" w:after="240" w:line="240" w:lineRule="auto"/>
        <w:ind w:left="1915"/>
        <w:jc w:val="both"/>
        <w:rPr>
          <w:rFonts w:ascii="Arial" w:eastAsia="Times New Roman" w:hAnsi="Arial" w:cs="Arial"/>
          <w:b/>
          <w:i/>
          <w:iCs/>
          <w:color w:val="0000FF"/>
        </w:rPr>
      </w:pPr>
      <w:bookmarkStart w:id="37" w:name="_MON_1330162464"/>
      <w:bookmarkStart w:id="38" w:name="_MON_1345450081"/>
      <w:bookmarkStart w:id="39" w:name="_MON_1359287303"/>
      <w:bookmarkStart w:id="40" w:name="_MON_1368530032"/>
      <w:bookmarkStart w:id="41" w:name="_MON_1368530127"/>
      <w:bookmarkStart w:id="42" w:name="_MON_1370682946"/>
      <w:bookmarkStart w:id="43" w:name="_MON_1401009325"/>
      <w:bookmarkStart w:id="44" w:name="_MON_1401712570"/>
      <w:bookmarkStart w:id="45" w:name="_MON_1402724719"/>
      <w:bookmarkStart w:id="46" w:name="_MON_1119080419"/>
      <w:bookmarkStart w:id="47" w:name="_MON_1119434532"/>
      <w:bookmarkStart w:id="48" w:name="_MON_1172988253"/>
      <w:bookmarkStart w:id="49" w:name="_MON_1179396779"/>
      <w:bookmarkStart w:id="50" w:name="_MON_1188275215"/>
      <w:bookmarkStart w:id="51" w:name="_MON_1188287528"/>
      <w:bookmarkStart w:id="52" w:name="_MON_1211810403"/>
      <w:bookmarkStart w:id="53" w:name="_MON_1211810501"/>
      <w:bookmarkStart w:id="54" w:name="_MON_1211810529"/>
      <w:bookmarkStart w:id="55" w:name="_MON_1220945604"/>
      <w:bookmarkStart w:id="56" w:name="_MON_1220945663"/>
      <w:bookmarkStart w:id="57" w:name="_MON_1243144132"/>
      <w:bookmarkStart w:id="58" w:name="_MON_126424929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b/>
          <w:color w:val="0000FF"/>
        </w:rPr>
        <w:softHyphen/>
      </w:r>
      <w:r w:rsidRPr="00E039B2">
        <w:rPr>
          <w:rFonts w:ascii="Arial" w:eastAsia="Times New Roman" w:hAnsi="Arial" w:cs="Arial"/>
        </w:rPr>
        <w:t>__________________________</w:t>
      </w:r>
      <w:r w:rsidRPr="00E039B2">
        <w:rPr>
          <w:rFonts w:ascii="Arial" w:eastAsia="Times New Roman" w:hAnsi="Arial" w:cs="Arial"/>
          <w:b/>
          <w:color w:val="0000FF"/>
        </w:rPr>
        <w:t xml:space="preserve"> </w:t>
      </w:r>
      <w:r w:rsidRPr="00E039B2">
        <w:rPr>
          <w:rFonts w:ascii="Arial" w:eastAsia="Times New Roman" w:hAnsi="Arial" w:cs="Arial"/>
          <w:b/>
          <w:i/>
          <w:color w:val="0000FF"/>
        </w:rPr>
        <w:t>[For example, computer servers]</w:t>
      </w:r>
      <w:r w:rsidRPr="00E039B2">
        <w:rPr>
          <w:rFonts w:ascii="Arial" w:eastAsia="Times New Roman" w:hAnsi="Arial" w:cs="Arial"/>
          <w:color w:val="0000FF"/>
        </w:rPr>
        <w:t xml:space="preserve"> </w:t>
      </w:r>
      <w:r w:rsidRPr="00E039B2">
        <w:rPr>
          <w:rFonts w:ascii="Arial" w:eastAsia="Times New Roman" w:hAnsi="Arial" w:cs="Arial"/>
        </w:rPr>
        <w:t xml:space="preserve">acquired under capital lease amounted to $_______ at June 30, </w:t>
      </w:r>
      <w:r w:rsidRPr="00E039B2">
        <w:rPr>
          <w:rFonts w:ascii="Arial" w:eastAsia="Times New Roman" w:hAnsi="Arial" w:cs="Arial"/>
          <w:highlight w:val="yellow"/>
        </w:rPr>
        <w:t>2020</w:t>
      </w:r>
      <w:r w:rsidRPr="00E039B2">
        <w:rPr>
          <w:rFonts w:ascii="Arial" w:eastAsia="Times New Roman" w:hAnsi="Arial" w:cs="Arial"/>
        </w:rPr>
        <w:t xml:space="preserve">. </w:t>
      </w:r>
      <w:r w:rsidRPr="00E039B2">
        <w:rPr>
          <w:rFonts w:ascii="Arial" w:eastAsia="Times New Roman" w:hAnsi="Arial" w:cs="Arial"/>
          <w:b/>
          <w:i/>
          <w:iCs/>
          <w:color w:val="0000FF"/>
          <w:highlight w:val="yellow"/>
        </w:rPr>
        <w:t>[</w:t>
      </w:r>
      <w:r w:rsidRPr="00E039B2">
        <w:rPr>
          <w:rFonts w:ascii="Arial" w:eastAsia="Times New Roman" w:hAnsi="Arial" w:cs="Arial"/>
          <w:b/>
          <w:i/>
          <w:iCs/>
          <w:color w:val="0000FF"/>
        </w:rPr>
        <w:t xml:space="preserve">Note to Preparer: </w:t>
      </w:r>
      <w:r w:rsidRPr="00E039B2">
        <w:rPr>
          <w:rFonts w:ascii="Arial" w:eastAsia="Times New Roman" w:hAnsi="Arial" w:cs="Arial"/>
          <w:b/>
          <w:i/>
          <w:iCs/>
          <w:color w:val="0000FF"/>
          <w:highlight w:val="yellow"/>
        </w:rPr>
        <w:t>Per GASB Codification Section L</w:t>
      </w:r>
      <w:proofErr w:type="gramStart"/>
      <w:r w:rsidRPr="00E039B2">
        <w:rPr>
          <w:rFonts w:ascii="Arial" w:eastAsia="Times New Roman" w:hAnsi="Arial" w:cs="Arial"/>
          <w:b/>
          <w:i/>
          <w:iCs/>
          <w:color w:val="0000FF"/>
          <w:highlight w:val="yellow"/>
        </w:rPr>
        <w:t>20.127.a</w:t>
      </w:r>
      <w:proofErr w:type="gramEnd"/>
      <w:r w:rsidRPr="00E039B2">
        <w:rPr>
          <w:rFonts w:ascii="Arial" w:eastAsia="Times New Roman" w:hAnsi="Arial" w:cs="Arial"/>
          <w:b/>
          <w:i/>
          <w:iCs/>
          <w:color w:val="0000FF"/>
          <w:highlight w:val="yellow"/>
        </w:rPr>
        <w:t>(1)</w:t>
      </w:r>
      <w:r w:rsidRPr="00E039B2">
        <w:rPr>
          <w:rFonts w:ascii="Arial" w:eastAsia="Times New Roman" w:hAnsi="Arial" w:cs="Arial"/>
          <w:b/>
          <w:i/>
          <w:iCs/>
          <w:color w:val="0000FF"/>
        </w:rPr>
        <w:t xml:space="preserve"> disclose the total gross amount of machinery and equipment included in capital assets that are associated with a capital lease as of</w:t>
      </w:r>
      <w:r w:rsidRPr="00E039B2">
        <w:rPr>
          <w:rFonts w:ascii="Times New Roman" w:eastAsia="Times New Roman" w:hAnsi="Times New Roman" w:cs="Times New Roman"/>
        </w:rPr>
        <w:t xml:space="preserve"> </w:t>
      </w:r>
      <w:r w:rsidRPr="00E039B2">
        <w:rPr>
          <w:rFonts w:ascii="Arial" w:eastAsia="Times New Roman" w:hAnsi="Arial" w:cs="Arial"/>
          <w:b/>
          <w:i/>
          <w:iCs/>
          <w:color w:val="0000FF"/>
          <w:highlight w:val="yellow"/>
        </w:rPr>
        <w:t>the end of the year</w:t>
      </w:r>
      <w:r w:rsidRPr="00E039B2">
        <w:rPr>
          <w:rFonts w:ascii="Arial" w:eastAsia="Times New Roman" w:hAnsi="Arial" w:cs="Arial"/>
          <w:b/>
          <w:i/>
          <w:iCs/>
          <w:color w:val="0000FF"/>
        </w:rPr>
        <w:t>. Modify if assets other than machinery and equipment were obtained under capital lease.]</w:t>
      </w:r>
    </w:p>
    <w:p w14:paraId="1C9A755B" w14:textId="6417F6F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iCs/>
          <w:color w:val="000000"/>
        </w:rPr>
        <w:t xml:space="preserve">Depreciation for the capital assets associated with capital leases is included in depreciation expense, and accumulated depreciation for assets acquired under capital lease totaled $_______ at June 30, </w:t>
      </w:r>
      <w:r w:rsidRPr="00E039B2">
        <w:rPr>
          <w:rFonts w:ascii="Arial" w:eastAsia="Times New Roman" w:hAnsi="Arial" w:cs="Arial"/>
          <w:highlight w:val="yellow"/>
        </w:rPr>
        <w:t>2020</w:t>
      </w:r>
      <w:r w:rsidRPr="00E039B2">
        <w:rPr>
          <w:rFonts w:ascii="Arial" w:eastAsia="Times New Roman" w:hAnsi="Arial" w:cs="Arial"/>
          <w:iCs/>
          <w:color w:val="000000"/>
        </w:rPr>
        <w:t>.</w:t>
      </w:r>
      <w:r w:rsidRPr="00E039B2">
        <w:rPr>
          <w:rFonts w:ascii="Arial" w:eastAsia="Times New Roman" w:hAnsi="Arial" w:cs="Arial"/>
          <w:b/>
          <w:i/>
          <w:iCs/>
          <w:color w:val="000000"/>
        </w:rPr>
        <w:t xml:space="preserve"> </w:t>
      </w:r>
      <w:r w:rsidRPr="00E039B2">
        <w:rPr>
          <w:rFonts w:ascii="Arial" w:eastAsia="Times New Roman" w:hAnsi="Arial" w:cs="Arial"/>
          <w:b/>
          <w:i/>
          <w:iCs/>
          <w:color w:val="0000FF"/>
        </w:rPr>
        <w:t>[Note to preparer: Modify as necessary. See GASB 62 for authoritative guidance.]</w:t>
      </w:r>
    </w:p>
    <w:p w14:paraId="6C94D4C2" w14:textId="0F8C4AC0" w:rsidR="001F7D9B" w:rsidRPr="00E039B2" w:rsidRDefault="001F7D9B" w:rsidP="001F7D9B">
      <w:pPr>
        <w:tabs>
          <w:tab w:val="left" w:pos="1560"/>
        </w:tabs>
        <w:spacing w:after="240" w:line="240" w:lineRule="auto"/>
        <w:ind w:left="1915" w:hanging="475"/>
        <w:jc w:val="both"/>
        <w:rPr>
          <w:rFonts w:ascii="Arial" w:eastAsia="Times New Roman" w:hAnsi="Arial" w:cs="Arial"/>
        </w:rPr>
      </w:pPr>
      <w:r w:rsidRPr="00E039B2">
        <w:rPr>
          <w:rFonts w:ascii="Arial" w:eastAsia="Times New Roman" w:hAnsi="Arial" w:cs="Arial"/>
          <w:b/>
          <w:bCs/>
        </w:rPr>
        <w:t>B.</w:t>
      </w:r>
      <w:r w:rsidRPr="00E039B2">
        <w:rPr>
          <w:rFonts w:ascii="Arial" w:eastAsia="Times New Roman" w:hAnsi="Arial" w:cs="Arial"/>
          <w:b/>
          <w:bCs/>
        </w:rPr>
        <w:tab/>
        <w:t xml:space="preserve">Operating Lease Obligations </w:t>
      </w:r>
      <w:r w:rsidRPr="00E039B2">
        <w:rPr>
          <w:rFonts w:ascii="Arial" w:eastAsia="Times New Roman" w:hAnsi="Arial" w:cs="Arial"/>
          <w:bCs/>
        </w:rPr>
        <w:t>-</w:t>
      </w:r>
      <w:r w:rsidRPr="00E039B2">
        <w:rPr>
          <w:rFonts w:ascii="Arial" w:eastAsia="Times New Roman" w:hAnsi="Arial" w:cs="Arial"/>
          <w:b/>
          <w:bCs/>
        </w:rPr>
        <w:t xml:space="preserve"> </w:t>
      </w:r>
      <w:r w:rsidRPr="00E039B2">
        <w:rPr>
          <w:rFonts w:ascii="Arial" w:eastAsia="Times New Roman" w:hAnsi="Arial" w:cs="Arial"/>
        </w:rPr>
        <w:t xml:space="preserve">The Department entered into operating leases for __________________. </w:t>
      </w:r>
      <w:r w:rsidRPr="00E039B2">
        <w:rPr>
          <w:rFonts w:ascii="Arial" w:eastAsia="Times New Roman" w:hAnsi="Arial" w:cs="Arial"/>
          <w:b/>
          <w:i/>
          <w:color w:val="0000FF"/>
        </w:rPr>
        <w:t xml:space="preserve">[For example, copiers, office </w:t>
      </w:r>
      <w:proofErr w:type="gramStart"/>
      <w:r w:rsidRPr="00E039B2">
        <w:rPr>
          <w:rFonts w:ascii="Arial" w:eastAsia="Times New Roman" w:hAnsi="Arial" w:cs="Arial"/>
          <w:b/>
          <w:i/>
          <w:color w:val="0000FF"/>
        </w:rPr>
        <w:t>space]</w:t>
      </w:r>
      <w:r w:rsidRPr="00E039B2">
        <w:rPr>
          <w:rFonts w:ascii="Arial" w:eastAsia="Times New Roman" w:hAnsi="Arial" w:cs="Arial"/>
          <w:i/>
          <w:color w:val="0000FF"/>
        </w:rPr>
        <w:t xml:space="preserve"> </w:t>
      </w:r>
      <w:r w:rsidRPr="00E039B2">
        <w:rPr>
          <w:rFonts w:ascii="Arial" w:eastAsia="Times New Roman" w:hAnsi="Arial" w:cs="Arial"/>
          <w:i/>
        </w:rPr>
        <w:t xml:space="preserve"> </w:t>
      </w:r>
      <w:r w:rsidRPr="00E039B2">
        <w:rPr>
          <w:rFonts w:ascii="Arial" w:eastAsia="Times New Roman" w:hAnsi="Arial" w:cs="Arial"/>
        </w:rPr>
        <w:lastRenderedPageBreak/>
        <w:t>Future</w:t>
      </w:r>
      <w:proofErr w:type="gramEnd"/>
      <w:r w:rsidRPr="00E039B2">
        <w:rPr>
          <w:rFonts w:ascii="Arial" w:eastAsia="Times New Roman" w:hAnsi="Arial" w:cs="Arial"/>
        </w:rPr>
        <w:t xml:space="preserve"> minimum lease payments under noncancelable operating leases consist of the following at June 30, </w:t>
      </w:r>
      <w:r w:rsidRPr="00E039B2">
        <w:rPr>
          <w:rFonts w:ascii="Arial" w:eastAsia="Times New Roman" w:hAnsi="Arial" w:cs="Arial"/>
          <w:highlight w:val="yellow"/>
        </w:rPr>
        <w:t>2020</w:t>
      </w:r>
      <w:r w:rsidRPr="00E039B2">
        <w:rPr>
          <w:rFonts w:ascii="Arial" w:eastAsia="Times New Roman" w:hAnsi="Arial" w:cs="Arial"/>
        </w:rPr>
        <w:t>:</w:t>
      </w:r>
    </w:p>
    <w:p w14:paraId="05DB9E91" w14:textId="2EFF6F96" w:rsidR="001F7D9B" w:rsidRPr="00E039B2" w:rsidRDefault="001F7D9B" w:rsidP="004A0566">
      <w:pPr>
        <w:spacing w:after="0" w:line="240" w:lineRule="auto"/>
        <w:ind w:left="1440"/>
        <w:rPr>
          <w:rFonts w:ascii="Arial" w:eastAsia="Times New Roman" w:hAnsi="Arial" w:cs="Arial"/>
          <w:b/>
          <w:bCs/>
          <w:i/>
        </w:rPr>
      </w:pPr>
      <w:bookmarkStart w:id="59" w:name="_MON_1211810545"/>
      <w:bookmarkStart w:id="60" w:name="_MON_1220945720"/>
      <w:bookmarkStart w:id="61" w:name="_MON_1264249353"/>
      <w:bookmarkStart w:id="62" w:name="_MON_1300515803"/>
      <w:bookmarkStart w:id="63" w:name="_MON_1330162504"/>
      <w:bookmarkStart w:id="64" w:name="_MON_1359287351"/>
      <w:bookmarkStart w:id="65" w:name="_MON_1360740280"/>
      <w:bookmarkStart w:id="66" w:name="_MON_1368530078"/>
      <w:bookmarkStart w:id="67" w:name="_MON_1558102334"/>
      <w:bookmarkStart w:id="68" w:name="_MON_1368530135"/>
      <w:bookmarkStart w:id="69" w:name="_MON_1401009340"/>
      <w:bookmarkStart w:id="70" w:name="_MON_1401712672"/>
      <w:bookmarkStart w:id="71" w:name="_MON_1119091896"/>
      <w:bookmarkStart w:id="72" w:name="_MON_1172988317"/>
      <w:bookmarkStart w:id="73" w:name="_MON_118827530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E039B2">
        <w:rPr>
          <w:rFonts w:ascii="Arial" w:eastAsia="Times New Roman" w:hAnsi="Arial" w:cs="Arial"/>
          <w:b/>
          <w:i/>
          <w:color w:val="0000FF"/>
        </w:rPr>
        <w:t>[Modify table below to distinguish between fund type as necessary]</w:t>
      </w:r>
      <w:r w:rsidRPr="00E039B2">
        <w:rPr>
          <w:rFonts w:ascii="Arial" w:eastAsia="Times New Roman" w:hAnsi="Arial" w:cs="Arial"/>
          <w:b/>
          <w:i/>
        </w:rPr>
        <w:tab/>
      </w:r>
      <w:bookmarkStart w:id="74" w:name="_MON_1188287650"/>
      <w:bookmarkEnd w:id="74"/>
    </w:p>
    <w:bookmarkStart w:id="75" w:name="_MON_1243144200"/>
    <w:bookmarkEnd w:id="75"/>
    <w:p w14:paraId="555EC1A5" w14:textId="042C3525" w:rsidR="001F7D9B" w:rsidRPr="00E039B2" w:rsidRDefault="004A0566" w:rsidP="001F7D9B">
      <w:pPr>
        <w:spacing w:before="480" w:after="240" w:line="240" w:lineRule="auto"/>
        <w:ind w:left="1915"/>
        <w:jc w:val="both"/>
        <w:rPr>
          <w:rFonts w:ascii="Arial" w:eastAsia="Times New Roman" w:hAnsi="Arial" w:cs="Arial"/>
          <w:b/>
          <w:bCs/>
        </w:rPr>
      </w:pPr>
      <w:r w:rsidRPr="00E039B2">
        <w:rPr>
          <w:rFonts w:ascii="Arial" w:eastAsia="Times New Roman" w:hAnsi="Arial" w:cs="Arial"/>
          <w:b/>
          <w:bCs/>
        </w:rPr>
        <w:object w:dxaOrig="6430" w:dyaOrig="3157" w14:anchorId="0C72C022">
          <v:shape id="_x0000_i1041" type="#_x0000_t75" style="width:358.5pt;height:176.25pt" o:ole="">
            <v:imagedata r:id="rId44" o:title=""/>
          </v:shape>
          <o:OLEObject Type="Embed" ProgID="Excel.Sheet.12" ShapeID="_x0000_i1041" DrawAspect="Content" ObjectID="_1661757470" r:id="rId45"/>
        </w:object>
      </w:r>
    </w:p>
    <w:p w14:paraId="2F37ADC9" w14:textId="77777777" w:rsidR="001F7D9B" w:rsidRPr="00E039B2" w:rsidRDefault="001F7D9B" w:rsidP="001F7D9B">
      <w:pPr>
        <w:spacing w:before="480" w:after="240" w:line="240" w:lineRule="auto"/>
        <w:ind w:left="1915"/>
        <w:jc w:val="both"/>
        <w:rPr>
          <w:rFonts w:ascii="Arial" w:eastAsia="Times New Roman" w:hAnsi="Arial" w:cs="Arial"/>
        </w:rPr>
      </w:pPr>
      <w:r w:rsidRPr="00E039B2">
        <w:rPr>
          <w:rFonts w:ascii="Arial" w:eastAsia="Times New Roman" w:hAnsi="Arial" w:cs="Arial"/>
        </w:rPr>
        <w:t>Rental expense for all operating leases during the year was $______.</w:t>
      </w:r>
    </w:p>
    <w:p w14:paraId="0612BF81" w14:textId="77777777" w:rsidR="001F7D9B" w:rsidRPr="00E039B2" w:rsidRDefault="001F7D9B" w:rsidP="001F7D9B">
      <w:pPr>
        <w:spacing w:after="240" w:line="240" w:lineRule="auto"/>
        <w:ind w:left="1915"/>
        <w:jc w:val="center"/>
        <w:rPr>
          <w:rFonts w:ascii="Arial" w:eastAsia="Times New Roman" w:hAnsi="Arial" w:cs="Arial"/>
          <w:b/>
          <w:i/>
          <w:color w:val="0000FF"/>
        </w:rPr>
      </w:pPr>
      <w:r w:rsidRPr="00E039B2">
        <w:rPr>
          <w:rFonts w:ascii="Arial" w:eastAsia="Times New Roman" w:hAnsi="Arial" w:cs="Arial"/>
          <w:b/>
          <w:i/>
          <w:color w:val="0000FF"/>
        </w:rPr>
        <w:t>OR</w:t>
      </w:r>
    </w:p>
    <w:p w14:paraId="18497648" w14:textId="77777777" w:rsidR="001F7D9B" w:rsidRPr="00E039B2" w:rsidRDefault="001F7D9B" w:rsidP="001F7D9B">
      <w:pPr>
        <w:spacing w:after="240" w:line="240" w:lineRule="auto"/>
        <w:ind w:left="1915"/>
        <w:jc w:val="both"/>
        <w:rPr>
          <w:rFonts w:ascii="Arial" w:eastAsia="Times New Roman" w:hAnsi="Arial" w:cs="Arial"/>
        </w:rPr>
      </w:pPr>
      <w:r w:rsidRPr="00E039B2">
        <w:rPr>
          <w:rFonts w:ascii="Arial" w:eastAsia="Times New Roman" w:hAnsi="Arial" w:cs="Arial"/>
        </w:rPr>
        <w:t>The following schedule presents the composition of total rental expense for all operating leases except those with terms of a month or less that were not renewed:</w:t>
      </w:r>
    </w:p>
    <w:bookmarkStart w:id="76" w:name="_MON_1188275360"/>
    <w:bookmarkStart w:id="77" w:name="_MON_1188287688"/>
    <w:bookmarkStart w:id="78" w:name="_MON_1119080470"/>
    <w:bookmarkEnd w:id="76"/>
    <w:bookmarkEnd w:id="77"/>
    <w:bookmarkEnd w:id="78"/>
    <w:bookmarkStart w:id="79" w:name="_MON_1119001423"/>
    <w:bookmarkEnd w:id="79"/>
    <w:p w14:paraId="554B6765" w14:textId="77777777" w:rsidR="001F7D9B" w:rsidRPr="00E039B2" w:rsidRDefault="001F7D9B" w:rsidP="001F7D9B">
      <w:pPr>
        <w:tabs>
          <w:tab w:val="left" w:pos="1560"/>
        </w:tabs>
        <w:spacing w:after="240" w:line="240" w:lineRule="auto"/>
        <w:ind w:left="1915" w:hanging="475"/>
        <w:jc w:val="center"/>
        <w:rPr>
          <w:rFonts w:ascii="Arial" w:eastAsia="Times New Roman" w:hAnsi="Arial" w:cs="Arial"/>
        </w:rPr>
      </w:pPr>
      <w:r w:rsidRPr="00E039B2">
        <w:rPr>
          <w:rFonts w:ascii="Arial" w:eastAsia="Times New Roman" w:hAnsi="Arial" w:cs="Arial"/>
        </w:rPr>
        <w:object w:dxaOrig="5038" w:dyaOrig="1761" w14:anchorId="29418E3A">
          <v:shape id="_x0000_i1042" type="#_x0000_t75" style="width:252pt;height:87.75pt" o:ole="">
            <v:imagedata r:id="rId46" o:title=""/>
          </v:shape>
          <o:OLEObject Type="Embed" ProgID="Excel.Sheet.12" ShapeID="_x0000_i1042" DrawAspect="Content" ObjectID="_1661757471" r:id="rId47"/>
        </w:object>
      </w:r>
    </w:p>
    <w:p w14:paraId="3C4436DB" w14:textId="18AC048F" w:rsidR="001F7D9B" w:rsidRPr="00E039B2" w:rsidRDefault="001F7D9B" w:rsidP="001F7D9B">
      <w:pPr>
        <w:tabs>
          <w:tab w:val="left" w:pos="1080"/>
        </w:tabs>
        <w:spacing w:before="480" w:after="240"/>
        <w:rPr>
          <w:rFonts w:ascii="Arial" w:hAnsi="Arial" w:cs="Arial"/>
          <w:b/>
          <w:smallCaps/>
        </w:rPr>
      </w:pPr>
      <w:r w:rsidRPr="00E039B2">
        <w:rPr>
          <w:rFonts w:ascii="Arial" w:hAnsi="Arial" w:cs="Arial"/>
          <w:b/>
          <w:smallCaps/>
        </w:rPr>
        <w:t xml:space="preserve">Note 10 </w:t>
      </w:r>
      <w:r w:rsidRPr="00E039B2">
        <w:rPr>
          <w:rFonts w:ascii="Arial" w:hAnsi="Arial" w:cs="Arial"/>
          <w:b/>
          <w:smallCaps/>
        </w:rPr>
        <w:tab/>
        <w:t>-</w:t>
      </w:r>
      <w:r w:rsidRPr="00E039B2">
        <w:rPr>
          <w:rFonts w:ascii="Arial" w:hAnsi="Arial" w:cs="Arial"/>
          <w:b/>
          <w:smallCaps/>
        </w:rPr>
        <w:tab/>
        <w:t xml:space="preserve">Fund Balance/Net Position </w:t>
      </w:r>
      <w:r w:rsidR="00A83CBE" w:rsidRPr="00E039B2">
        <w:rPr>
          <w:rFonts w:ascii="Arial" w:hAnsi="Arial" w:cs="Arial"/>
          <w:b/>
          <w:smallCaps/>
        </w:rPr>
        <w:br/>
      </w:r>
      <w:r w:rsidR="00A83CBE" w:rsidRPr="00E039B2">
        <w:rPr>
          <w:rFonts w:ascii="Arial" w:hAnsi="Arial" w:cs="Arial"/>
          <w:b/>
          <w:smallCaps/>
        </w:rPr>
        <w:br/>
      </w:r>
      <w:r w:rsidRPr="00E039B2">
        <w:rPr>
          <w:rFonts w:ascii="Arial" w:eastAsia="Times New Roman" w:hAnsi="Arial" w:cs="Arial"/>
          <w:b/>
          <w:i/>
          <w:color w:val="0000FF"/>
        </w:rPr>
        <w:t>[Modify as necessary. Remove “Net Position” if no proprietary funds.]</w:t>
      </w:r>
    </w:p>
    <w:p w14:paraId="1FF93578" w14:textId="77777777" w:rsidR="001F7D9B" w:rsidRPr="00E039B2" w:rsidRDefault="001F7D9B" w:rsidP="001F7D9B">
      <w:pPr>
        <w:numPr>
          <w:ilvl w:val="0"/>
          <w:numId w:val="30"/>
        </w:numPr>
        <w:spacing w:after="240" w:line="240" w:lineRule="auto"/>
        <w:ind w:left="1915" w:hanging="475"/>
        <w:contextualSpacing/>
        <w:jc w:val="both"/>
        <w:rPr>
          <w:rFonts w:ascii="Arial" w:eastAsia="Times New Roman" w:hAnsi="Arial" w:cs="Arial"/>
          <w:b/>
        </w:rPr>
      </w:pPr>
      <w:r w:rsidRPr="00E039B2" w:rsidDel="006E5CA5">
        <w:rPr>
          <w:rFonts w:ascii="Arial" w:eastAsia="Times New Roman" w:hAnsi="Arial" w:cs="Arial"/>
          <w:b/>
          <w:i/>
          <w:color w:val="0000FF"/>
        </w:rPr>
        <w:t xml:space="preserve"> </w:t>
      </w:r>
      <w:r w:rsidRPr="00E039B2">
        <w:rPr>
          <w:rFonts w:ascii="Arial" w:eastAsia="Times New Roman" w:hAnsi="Arial" w:cs="Arial"/>
          <w:b/>
        </w:rPr>
        <w:t>Fund Balance</w:t>
      </w:r>
    </w:p>
    <w:p w14:paraId="36850221" w14:textId="77777777" w:rsidR="001F7D9B" w:rsidRPr="00E039B2" w:rsidRDefault="001F7D9B" w:rsidP="001F7D9B">
      <w:pPr>
        <w:spacing w:after="240" w:line="240" w:lineRule="auto"/>
        <w:ind w:left="2070"/>
        <w:contextualSpacing/>
        <w:jc w:val="both"/>
        <w:rPr>
          <w:rFonts w:ascii="Arial" w:eastAsia="Times New Roman" w:hAnsi="Arial" w:cs="Arial"/>
        </w:rPr>
      </w:pPr>
    </w:p>
    <w:p w14:paraId="27AF750C" w14:textId="3A258A0E" w:rsidR="001F7D9B" w:rsidRPr="00E039B2" w:rsidRDefault="001F7D9B" w:rsidP="001F7D9B">
      <w:pPr>
        <w:spacing w:after="240" w:line="240" w:lineRule="auto"/>
        <w:ind w:left="1915"/>
        <w:contextualSpacing/>
        <w:jc w:val="both"/>
        <w:rPr>
          <w:rFonts w:ascii="Arial" w:eastAsia="Times New Roman" w:hAnsi="Arial" w:cs="Arial"/>
        </w:rPr>
      </w:pPr>
      <w:r w:rsidRPr="00E039B2">
        <w:rPr>
          <w:rFonts w:ascii="Arial" w:eastAsia="Times New Roman" w:hAnsi="Arial" w:cs="Arial"/>
        </w:rPr>
        <w:t xml:space="preserve">The details of the fund balance classifications for the governmental funds at June 30, </w:t>
      </w:r>
      <w:r w:rsidRPr="00E039B2">
        <w:rPr>
          <w:rFonts w:ascii="Arial" w:eastAsia="Times New Roman" w:hAnsi="Arial" w:cs="Arial"/>
          <w:highlight w:val="yellow"/>
        </w:rPr>
        <w:t>2020</w:t>
      </w:r>
      <w:r w:rsidRPr="00E039B2">
        <w:rPr>
          <w:rFonts w:ascii="Arial" w:eastAsia="Times New Roman" w:hAnsi="Arial" w:cs="Arial"/>
        </w:rPr>
        <w:t xml:space="preserve"> were as follows:</w:t>
      </w:r>
    </w:p>
    <w:bookmarkStart w:id="80" w:name="_MON_1582450359"/>
    <w:bookmarkEnd w:id="80"/>
    <w:p w14:paraId="112A04A9" w14:textId="77777777" w:rsidR="001F7D9B" w:rsidRPr="00E039B2" w:rsidRDefault="001F7D9B" w:rsidP="004A0566">
      <w:pPr>
        <w:tabs>
          <w:tab w:val="left" w:pos="1560"/>
          <w:tab w:val="left" w:pos="8813"/>
        </w:tabs>
        <w:spacing w:after="240" w:line="240" w:lineRule="auto"/>
        <w:ind w:left="1560"/>
        <w:jc w:val="center"/>
        <w:rPr>
          <w:rFonts w:ascii="Times New Roman" w:eastAsia="Times New Roman" w:hAnsi="Times New Roman" w:cs="Times New Roman"/>
        </w:rPr>
      </w:pPr>
      <w:r w:rsidRPr="00E039B2">
        <w:rPr>
          <w:rFonts w:ascii="Times New Roman" w:eastAsia="Times New Roman" w:hAnsi="Times New Roman" w:cs="Times New Roman"/>
        </w:rPr>
        <w:object w:dxaOrig="9113" w:dyaOrig="4440" w14:anchorId="0B6643BA">
          <v:shape id="_x0000_i1043" type="#_x0000_t75" style="width:393.75pt;height:203.25pt" o:ole="">
            <v:imagedata r:id="rId48" o:title=""/>
          </v:shape>
          <o:OLEObject Type="Embed" ProgID="Excel.Sheet.12" ShapeID="_x0000_i1043" DrawAspect="Content" ObjectID="_1661757472" r:id="rId49"/>
        </w:object>
      </w:r>
    </w:p>
    <w:p w14:paraId="14017CD2" w14:textId="77777777" w:rsidR="001F7D9B" w:rsidRPr="00E039B2" w:rsidRDefault="001F7D9B" w:rsidP="001F7D9B">
      <w:pPr>
        <w:tabs>
          <w:tab w:val="left" w:pos="1560"/>
          <w:tab w:val="left" w:pos="8813"/>
        </w:tabs>
        <w:spacing w:after="240" w:line="240" w:lineRule="auto"/>
        <w:ind w:left="1440"/>
        <w:jc w:val="center"/>
        <w:rPr>
          <w:rFonts w:ascii="Arial" w:eastAsia="Times New Roman" w:hAnsi="Arial" w:cs="Arial"/>
          <w:i/>
        </w:rPr>
      </w:pPr>
      <w:r w:rsidRPr="00E039B2">
        <w:rPr>
          <w:rFonts w:ascii="Arial" w:eastAsia="Times New Roman" w:hAnsi="Arial" w:cs="Arial"/>
          <w:b/>
          <w:i/>
          <w:color w:val="0000FF"/>
        </w:rPr>
        <w:t>[Remove section below if no proprietary fund(s) or if proprietary fund(s) do not have a deficit in net position]</w:t>
      </w:r>
    </w:p>
    <w:p w14:paraId="181E4B53" w14:textId="528E29DB" w:rsidR="001F7D9B" w:rsidRPr="00E039B2" w:rsidRDefault="001F7D9B" w:rsidP="001F7D9B">
      <w:pPr>
        <w:numPr>
          <w:ilvl w:val="0"/>
          <w:numId w:val="30"/>
        </w:numPr>
        <w:spacing w:after="240" w:line="240" w:lineRule="auto"/>
        <w:ind w:left="1915" w:hanging="475"/>
        <w:contextualSpacing/>
        <w:jc w:val="both"/>
        <w:rPr>
          <w:rFonts w:ascii="Arial" w:eastAsia="Times New Roman" w:hAnsi="Arial" w:cs="Arial"/>
          <w:b/>
        </w:rPr>
      </w:pPr>
      <w:r w:rsidRPr="00E039B2">
        <w:rPr>
          <w:rFonts w:ascii="Arial" w:eastAsia="Times New Roman" w:hAnsi="Arial" w:cs="Arial"/>
          <w:b/>
        </w:rPr>
        <w:t xml:space="preserve">Net Position </w:t>
      </w:r>
      <w:r w:rsidRPr="00E039B2">
        <w:rPr>
          <w:rFonts w:ascii="Arial" w:eastAsia="Times New Roman" w:hAnsi="Arial" w:cs="Arial"/>
          <w:b/>
          <w:i/>
          <w:color w:val="0000FF"/>
        </w:rPr>
        <w:t xml:space="preserve">[Per GASB 63 paragraph 14, describe any transaction that resulted in the recognition of a deferred outflow of resources or deferred inflow of resources in which a component of net position has been significantly affected. Common examples from the recognition of net pension liability and net OPEB liability have been provided below. Modify as necessary. </w:t>
      </w:r>
      <w:r w:rsidRPr="00E039B2">
        <w:rPr>
          <w:rFonts w:ascii="Arial" w:eastAsia="Times New Roman" w:hAnsi="Arial" w:cs="Arial"/>
          <w:b/>
          <w:i/>
          <w:color w:val="0000FF"/>
          <w:highlight w:val="yellow"/>
        </w:rPr>
        <w:t>Other possible items include Asset Retirement Obligations.</w:t>
      </w:r>
      <w:r w:rsidRPr="00E039B2">
        <w:rPr>
          <w:rFonts w:ascii="Arial" w:eastAsia="Times New Roman" w:hAnsi="Arial" w:cs="Arial"/>
          <w:b/>
          <w:i/>
          <w:color w:val="0000FF"/>
        </w:rPr>
        <w:t>]</w:t>
      </w:r>
    </w:p>
    <w:p w14:paraId="5D3C6A1F" w14:textId="77777777" w:rsidR="001F7D9B" w:rsidRPr="00E039B2" w:rsidRDefault="001F7D9B" w:rsidP="001F7D9B">
      <w:pPr>
        <w:spacing w:after="240" w:line="240" w:lineRule="auto"/>
        <w:ind w:left="1915"/>
        <w:contextualSpacing/>
        <w:jc w:val="both"/>
        <w:rPr>
          <w:rFonts w:ascii="Arial" w:eastAsia="Times New Roman" w:hAnsi="Arial" w:cs="Arial"/>
          <w:b/>
        </w:rPr>
      </w:pPr>
    </w:p>
    <w:p w14:paraId="71BFFF3A" w14:textId="77777777" w:rsidR="001F7D9B" w:rsidRPr="00E039B2" w:rsidRDefault="001F7D9B" w:rsidP="001F7D9B">
      <w:pPr>
        <w:spacing w:after="240" w:line="240" w:lineRule="auto"/>
        <w:ind w:left="1915"/>
        <w:contextualSpacing/>
        <w:jc w:val="both"/>
        <w:rPr>
          <w:rFonts w:ascii="Arial" w:eastAsia="Times New Roman" w:hAnsi="Arial" w:cs="Arial"/>
          <w:b/>
        </w:rPr>
      </w:pPr>
      <w:r w:rsidRPr="00E039B2">
        <w:rPr>
          <w:rFonts w:ascii="Arial" w:eastAsia="Times New Roman" w:hAnsi="Arial" w:cs="Arial"/>
          <w:highlight w:val="yellow"/>
        </w:rPr>
        <w:t>Unrestricted net position has been significantly affected by transactions resulting from the recognition of deferred outflows of resources and deferred inflows of resources, and related long-term liabilities, as shown in the following table:</w:t>
      </w:r>
    </w:p>
    <w:p w14:paraId="6DAF3759" w14:textId="77777777" w:rsidR="001F7D9B" w:rsidRPr="00E039B2" w:rsidRDefault="001F7D9B" w:rsidP="001F7D9B">
      <w:pPr>
        <w:spacing w:after="240" w:line="240" w:lineRule="auto"/>
        <w:ind w:left="2070"/>
        <w:contextualSpacing/>
        <w:jc w:val="both"/>
        <w:rPr>
          <w:rFonts w:ascii="Arial" w:eastAsia="Times New Roman" w:hAnsi="Arial" w:cs="Arial"/>
          <w:strike/>
        </w:rPr>
      </w:pPr>
    </w:p>
    <w:bookmarkStart w:id="81" w:name="_MON_1661755203"/>
    <w:bookmarkEnd w:id="81"/>
    <w:p w14:paraId="275AEC8A" w14:textId="59214652" w:rsidR="001F7D9B" w:rsidRPr="00E039B2" w:rsidRDefault="003C24F6" w:rsidP="001F7D9B">
      <w:pPr>
        <w:spacing w:after="240" w:line="240" w:lineRule="auto"/>
        <w:ind w:left="1890"/>
        <w:jc w:val="both"/>
        <w:rPr>
          <w:rFonts w:ascii="Arial" w:hAnsi="Arial" w:cs="Arial"/>
        </w:rPr>
      </w:pPr>
      <w:r w:rsidRPr="00E039B2">
        <w:object w:dxaOrig="8059" w:dyaOrig="3123" w14:anchorId="6D40E6F9">
          <v:shape id="_x0000_i1152" type="#_x0000_t75" style="width:375pt;height:162pt" o:ole="">
            <v:imagedata r:id="rId50" o:title=""/>
            <o:lock v:ext="edit" aspectratio="f"/>
          </v:shape>
          <o:OLEObject Type="Embed" ProgID="Excel.Sheet.12" ShapeID="_x0000_i1152" DrawAspect="Content" ObjectID="_1661757473" r:id="rId51"/>
        </w:object>
      </w:r>
    </w:p>
    <w:p w14:paraId="66312360" w14:textId="1B0F9E40" w:rsidR="001F7D9B" w:rsidRPr="00E039B2" w:rsidRDefault="001F7D9B" w:rsidP="001F7D9B">
      <w:pPr>
        <w:spacing w:after="240" w:line="240" w:lineRule="auto"/>
        <w:ind w:left="1890"/>
        <w:jc w:val="both"/>
        <w:rPr>
          <w:rFonts w:ascii="Arial" w:eastAsia="Times New Roman" w:hAnsi="Arial" w:cs="Arial"/>
        </w:rPr>
      </w:pPr>
      <w:r w:rsidRPr="00E039B2">
        <w:rPr>
          <w:rFonts w:ascii="Arial" w:hAnsi="Arial" w:cs="Arial"/>
        </w:rPr>
        <w:t xml:space="preserve">See Notes </w:t>
      </w:r>
      <w:r w:rsidRPr="00E039B2">
        <w:rPr>
          <w:rFonts w:ascii="Arial" w:hAnsi="Arial" w:cs="Arial"/>
          <w:b/>
          <w:color w:val="0000FF"/>
        </w:rPr>
        <w:t>X</w:t>
      </w:r>
      <w:r w:rsidRPr="00E039B2">
        <w:rPr>
          <w:rFonts w:ascii="Arial" w:hAnsi="Arial" w:cs="Arial"/>
        </w:rPr>
        <w:t xml:space="preserve"> and </w:t>
      </w:r>
      <w:r w:rsidRPr="00E039B2">
        <w:rPr>
          <w:rFonts w:ascii="Arial" w:hAnsi="Arial" w:cs="Arial"/>
          <w:b/>
          <w:color w:val="0000FF"/>
        </w:rPr>
        <w:t>Y</w:t>
      </w:r>
      <w:r w:rsidRPr="00E039B2">
        <w:rPr>
          <w:rFonts w:ascii="Arial" w:hAnsi="Arial" w:cs="Arial"/>
        </w:rPr>
        <w:t xml:space="preserve"> for detailed information regarding the amortization of the proprietary funds’ deferred outflows of resources and deferred inflows of resources relating to pensions and OPEB, respectively.  </w:t>
      </w:r>
      <w:bookmarkStart w:id="82" w:name="_MON_1550316725"/>
      <w:bookmarkEnd w:id="82"/>
      <w:r w:rsidRPr="00E039B2">
        <w:rPr>
          <w:rFonts w:ascii="Arial" w:eastAsia="Times New Roman" w:hAnsi="Arial" w:cs="Arial"/>
          <w:b/>
          <w:i/>
          <w:color w:val="0000FF"/>
          <w:highlight w:val="yellow"/>
        </w:rPr>
        <w:t>[Modify to reference pension and OPEB disclosures]</w:t>
      </w:r>
      <w:r w:rsidRPr="00E039B2">
        <w:rPr>
          <w:rFonts w:ascii="Arial" w:eastAsia="Times New Roman" w:hAnsi="Arial" w:cs="Arial"/>
        </w:rPr>
        <w:t>.</w:t>
      </w:r>
    </w:p>
    <w:p w14:paraId="712E3F23" w14:textId="77777777" w:rsidR="001F7D9B" w:rsidRPr="00E039B2" w:rsidRDefault="001F7D9B" w:rsidP="001F7D9B">
      <w:pPr>
        <w:tabs>
          <w:tab w:val="left" w:pos="1080"/>
        </w:tabs>
        <w:spacing w:before="480" w:after="240"/>
        <w:rPr>
          <w:rFonts w:ascii="Arial" w:hAnsi="Arial" w:cs="Arial"/>
          <w:b/>
          <w:smallCaps/>
        </w:rPr>
      </w:pPr>
      <w:r w:rsidRPr="00E039B2">
        <w:rPr>
          <w:rFonts w:ascii="Arial" w:hAnsi="Arial" w:cs="Arial"/>
          <w:b/>
          <w:smallCaps/>
        </w:rPr>
        <w:lastRenderedPageBreak/>
        <w:t>Note 11</w:t>
      </w:r>
      <w:r w:rsidRPr="00E039B2">
        <w:rPr>
          <w:rFonts w:ascii="Arial" w:hAnsi="Arial" w:cs="Arial"/>
          <w:b/>
          <w:smallCaps/>
        </w:rPr>
        <w:tab/>
        <w:t>-</w:t>
      </w:r>
      <w:r w:rsidRPr="00E039B2">
        <w:rPr>
          <w:rFonts w:ascii="Arial" w:hAnsi="Arial" w:cs="Arial"/>
          <w:b/>
          <w:smallCaps/>
        </w:rPr>
        <w:tab/>
        <w:t>Revenues and Expenditures from/to Other State Agencies</w:t>
      </w:r>
    </w:p>
    <w:p w14:paraId="163922F8" w14:textId="11FD39C8" w:rsidR="001F7D9B" w:rsidRPr="00E039B2" w:rsidRDefault="001F7D9B" w:rsidP="001F7D9B">
      <w:pPr>
        <w:spacing w:after="240" w:line="240" w:lineRule="auto"/>
        <w:ind w:left="1440"/>
        <w:jc w:val="both"/>
        <w:rPr>
          <w:rFonts w:ascii="Arial" w:hAnsi="Arial" w:cs="Arial"/>
          <w:b/>
          <w:i/>
          <w:color w:val="0000FF"/>
        </w:rPr>
      </w:pPr>
      <w:r w:rsidRPr="00E039B2">
        <w:rPr>
          <w:rFonts w:ascii="Arial" w:hAnsi="Arial" w:cs="Arial"/>
        </w:rPr>
        <w:t xml:space="preserve">The governmental funds’ revenues and expenditures from/to other state agencies by entity and purpose for the fiscal year ended June 30, </w:t>
      </w:r>
      <w:r w:rsidRPr="00E039B2">
        <w:rPr>
          <w:rFonts w:ascii="Arial" w:hAnsi="Arial" w:cs="Arial"/>
          <w:highlight w:val="yellow"/>
        </w:rPr>
        <w:t>2020</w:t>
      </w:r>
      <w:r w:rsidRPr="00E039B2">
        <w:rPr>
          <w:rFonts w:ascii="Arial" w:hAnsi="Arial" w:cs="Arial"/>
        </w:rPr>
        <w:t xml:space="preserve"> were as follows: </w:t>
      </w:r>
      <w:r w:rsidRPr="00E039B2">
        <w:rPr>
          <w:rFonts w:ascii="Arial" w:hAnsi="Arial" w:cs="Arial"/>
          <w:b/>
          <w:i/>
          <w:color w:val="0000FF"/>
        </w:rPr>
        <w:t>[Modify as necessary.]</w:t>
      </w:r>
    </w:p>
    <w:p w14:paraId="28FF444F" w14:textId="77777777" w:rsidR="001F7D9B" w:rsidRPr="00E039B2" w:rsidRDefault="001F7D9B" w:rsidP="001F7D9B">
      <w:pPr>
        <w:spacing w:after="240" w:line="240" w:lineRule="auto"/>
        <w:ind w:left="1440"/>
        <w:jc w:val="both"/>
        <w:rPr>
          <w:rFonts w:ascii="Arial" w:hAnsi="Arial" w:cs="Arial"/>
          <w:b/>
          <w:i/>
          <w:color w:val="0000FF"/>
        </w:rPr>
      </w:pPr>
      <w:r w:rsidRPr="00E039B2">
        <w:rPr>
          <w:rFonts w:ascii="Arial" w:hAnsi="Arial" w:cs="Arial"/>
          <w:b/>
          <w:i/>
          <w:color w:val="0000FF"/>
        </w:rPr>
        <w:t>[Modify table as necessary, include all major/significant funds.]</w:t>
      </w:r>
    </w:p>
    <w:bookmarkStart w:id="83" w:name="_MON_1585977122"/>
    <w:bookmarkEnd w:id="83"/>
    <w:p w14:paraId="4136B18D" w14:textId="5C96A3EC" w:rsidR="001F7D9B" w:rsidRPr="00E039B2" w:rsidRDefault="001F7D9B" w:rsidP="004A0566">
      <w:pPr>
        <w:spacing w:after="240" w:line="240" w:lineRule="auto"/>
        <w:ind w:left="1440"/>
        <w:rPr>
          <w:rFonts w:ascii="Arial" w:hAnsi="Arial" w:cs="Arial"/>
          <w:b/>
          <w:color w:val="0000FF"/>
        </w:rPr>
      </w:pPr>
      <w:r w:rsidRPr="00E039B2">
        <w:rPr>
          <w:rFonts w:ascii="Arial" w:hAnsi="Arial" w:cs="Arial"/>
          <w:b/>
          <w:color w:val="0000FF"/>
        </w:rPr>
        <w:object w:dxaOrig="11534" w:dyaOrig="9812" w14:anchorId="273D2E84">
          <v:shape id="_x0000_i1045" type="#_x0000_t75" style="width:423pt;height:414.75pt" o:ole="">
            <v:imagedata r:id="rId52" o:title=""/>
          </v:shape>
          <o:OLEObject Type="Embed" ProgID="Excel.Sheet.8" ShapeID="_x0000_i1045" DrawAspect="Content" ObjectID="_1661757474" r:id="rId53"/>
        </w:object>
      </w:r>
    </w:p>
    <w:p w14:paraId="76CECE2D" w14:textId="028C44A5" w:rsidR="001F7D9B" w:rsidRPr="00E039B2" w:rsidRDefault="001F7D9B" w:rsidP="001F7D9B">
      <w:pPr>
        <w:tabs>
          <w:tab w:val="left" w:pos="1080"/>
          <w:tab w:val="left" w:pos="1440"/>
        </w:tabs>
        <w:spacing w:before="480" w:after="240" w:line="240" w:lineRule="auto"/>
        <w:rPr>
          <w:rFonts w:ascii="Arial" w:eastAsia="Times New Roman" w:hAnsi="Arial" w:cs="Arial"/>
          <w:b/>
          <w:smallCaps/>
        </w:rPr>
      </w:pPr>
      <w:r w:rsidRPr="00E039B2">
        <w:rPr>
          <w:rFonts w:ascii="Arial" w:eastAsia="Times New Roman" w:hAnsi="Arial" w:cs="Arial"/>
          <w:b/>
          <w:smallCaps/>
        </w:rPr>
        <w:t>Note 1</w:t>
      </w:r>
      <w:r w:rsidR="00D46EDA" w:rsidRPr="00E039B2">
        <w:rPr>
          <w:rFonts w:ascii="Arial" w:eastAsia="Times New Roman" w:hAnsi="Arial" w:cs="Arial"/>
          <w:b/>
          <w:smallCaps/>
        </w:rPr>
        <w:t>2</w:t>
      </w:r>
      <w:r w:rsidRPr="00E039B2">
        <w:rPr>
          <w:rFonts w:ascii="Arial" w:eastAsia="Times New Roman" w:hAnsi="Arial" w:cs="Arial"/>
          <w:b/>
          <w:smallCaps/>
        </w:rPr>
        <w:tab/>
        <w:t>-</w:t>
      </w:r>
      <w:r w:rsidRPr="00E039B2">
        <w:rPr>
          <w:rFonts w:ascii="Arial" w:eastAsia="Times New Roman" w:hAnsi="Arial" w:cs="Arial"/>
          <w:b/>
          <w:smallCaps/>
        </w:rPr>
        <w:tab/>
        <w:t>Interfund Balances and Transfers</w:t>
      </w:r>
    </w:p>
    <w:p w14:paraId="76C883EA" w14:textId="35F5894F" w:rsidR="001F7D9B" w:rsidRPr="00E039B2" w:rsidRDefault="001F7D9B" w:rsidP="001F7D9B">
      <w:pPr>
        <w:numPr>
          <w:ilvl w:val="0"/>
          <w:numId w:val="31"/>
        </w:numPr>
        <w:spacing w:after="240" w:line="240" w:lineRule="auto"/>
        <w:contextualSpacing/>
        <w:jc w:val="both"/>
        <w:rPr>
          <w:rFonts w:ascii="Arial" w:eastAsia="Times New Roman" w:hAnsi="Arial" w:cs="Arial"/>
        </w:rPr>
      </w:pPr>
      <w:r w:rsidRPr="00E039B2">
        <w:rPr>
          <w:rFonts w:ascii="Arial" w:eastAsia="Times New Roman" w:hAnsi="Arial" w:cs="Arial"/>
          <w:b/>
        </w:rPr>
        <w:t xml:space="preserve">Interfund Balances </w:t>
      </w:r>
      <w:r w:rsidRPr="00E039B2">
        <w:rPr>
          <w:rFonts w:ascii="Arial" w:eastAsia="Times New Roman" w:hAnsi="Arial" w:cs="Arial"/>
          <w:b/>
          <w:i/>
          <w:color w:val="0000FF"/>
        </w:rPr>
        <w:t>[Delete section and modify title above if interfund balances are not applicable]</w:t>
      </w:r>
    </w:p>
    <w:p w14:paraId="27A165A8" w14:textId="77777777" w:rsidR="00DB4AE8" w:rsidRPr="00E039B2" w:rsidRDefault="00DB4AE8" w:rsidP="00DB4AE8">
      <w:pPr>
        <w:spacing w:after="240" w:line="240" w:lineRule="auto"/>
        <w:ind w:left="1800"/>
        <w:contextualSpacing/>
        <w:jc w:val="both"/>
        <w:rPr>
          <w:rFonts w:ascii="Arial" w:eastAsia="Times New Roman" w:hAnsi="Arial" w:cs="Arial"/>
        </w:rPr>
      </w:pPr>
    </w:p>
    <w:p w14:paraId="057993AF" w14:textId="77777777" w:rsidR="001F7D9B" w:rsidRPr="00E039B2" w:rsidRDefault="001F7D9B" w:rsidP="001F7D9B">
      <w:pPr>
        <w:spacing w:after="240" w:line="240" w:lineRule="auto"/>
        <w:ind w:left="1915"/>
        <w:jc w:val="both"/>
        <w:rPr>
          <w:rFonts w:ascii="Arial" w:eastAsia="Times New Roman" w:hAnsi="Arial" w:cs="Arial"/>
          <w:bCs/>
          <w:iCs/>
          <w:u w:val="single"/>
        </w:rPr>
      </w:pPr>
      <w:bookmarkStart w:id="84" w:name="_MON_1554212812"/>
      <w:bookmarkEnd w:id="84"/>
      <w:r w:rsidRPr="00E039B2">
        <w:rPr>
          <w:rFonts w:ascii="Arial" w:eastAsia="Times New Roman" w:hAnsi="Arial" w:cs="Arial"/>
          <w:bCs/>
          <w:iCs/>
          <w:u w:val="single"/>
        </w:rPr>
        <w:t>Due To/From Other Funds</w:t>
      </w:r>
    </w:p>
    <w:p w14:paraId="242354CD" w14:textId="1F7401E1" w:rsidR="001F7D9B" w:rsidRPr="00E039B2" w:rsidRDefault="001F7D9B" w:rsidP="001F7D9B">
      <w:pPr>
        <w:spacing w:after="240" w:line="240" w:lineRule="auto"/>
        <w:ind w:left="1915"/>
        <w:jc w:val="both"/>
        <w:rPr>
          <w:rFonts w:ascii="Arial" w:eastAsia="Times New Roman" w:hAnsi="Arial" w:cs="Arial"/>
          <w:bCs/>
          <w:iCs/>
        </w:rPr>
      </w:pPr>
      <w:r w:rsidRPr="00E039B2">
        <w:rPr>
          <w:rFonts w:ascii="Arial" w:eastAsia="Times New Roman" w:hAnsi="Arial" w:cs="Arial"/>
          <w:bCs/>
          <w:iCs/>
        </w:rPr>
        <w:t xml:space="preserve">Amounts due to/from other funds at June 30, </w:t>
      </w:r>
      <w:r w:rsidRPr="00E039B2">
        <w:rPr>
          <w:rFonts w:ascii="Arial" w:eastAsia="Times New Roman" w:hAnsi="Arial" w:cs="Arial"/>
          <w:bCs/>
          <w:iCs/>
          <w:highlight w:val="yellow"/>
        </w:rPr>
        <w:t>2020</w:t>
      </w:r>
      <w:r w:rsidRPr="00E039B2">
        <w:rPr>
          <w:rFonts w:ascii="Arial" w:eastAsia="Times New Roman" w:hAnsi="Arial" w:cs="Arial"/>
          <w:bCs/>
          <w:iCs/>
        </w:rPr>
        <w:t xml:space="preserve"> were as follows: </w:t>
      </w:r>
    </w:p>
    <w:p w14:paraId="7A790719" w14:textId="77777777" w:rsidR="001F7D9B" w:rsidRPr="00E039B2" w:rsidRDefault="001F7D9B" w:rsidP="001F7D9B">
      <w:pPr>
        <w:spacing w:after="240" w:line="240" w:lineRule="auto"/>
        <w:ind w:left="1915" w:hanging="25"/>
        <w:jc w:val="both"/>
        <w:rPr>
          <w:rFonts w:ascii="Arial" w:eastAsia="Times New Roman" w:hAnsi="Arial" w:cs="Arial"/>
          <w:b/>
          <w:bCs/>
          <w:i/>
          <w:iCs/>
          <w:color w:val="0000FF"/>
        </w:rPr>
      </w:pPr>
      <w:r w:rsidRPr="00E039B2">
        <w:rPr>
          <w:rFonts w:ascii="Arial" w:eastAsia="Times New Roman" w:hAnsi="Arial" w:cs="Arial"/>
          <w:b/>
          <w:bCs/>
          <w:i/>
          <w:iCs/>
          <w:color w:val="0000FF"/>
        </w:rPr>
        <w:lastRenderedPageBreak/>
        <w:t>[Modify the tables below as necessary]</w:t>
      </w:r>
    </w:p>
    <w:bookmarkStart w:id="85" w:name="_MON_1552997300"/>
    <w:bookmarkEnd w:id="85"/>
    <w:p w14:paraId="101246FE" w14:textId="77777777" w:rsidR="001F7D9B" w:rsidRPr="00E039B2" w:rsidRDefault="001F7D9B" w:rsidP="004A0566">
      <w:pPr>
        <w:autoSpaceDE w:val="0"/>
        <w:autoSpaceDN w:val="0"/>
        <w:adjustRightInd w:val="0"/>
        <w:ind w:left="1440" w:firstLine="450"/>
        <w:rPr>
          <w:rFonts w:ascii="Arial" w:hAnsi="Arial" w:cs="Arial"/>
          <w:u w:val="single"/>
        </w:rPr>
      </w:pPr>
      <w:r w:rsidRPr="00E039B2">
        <w:rPr>
          <w:color w:val="FF0000"/>
        </w:rPr>
        <w:object w:dxaOrig="7685" w:dyaOrig="2489" w14:anchorId="038F5273">
          <v:shape id="_x0000_i1046" type="#_x0000_t75" style="width:342pt;height:127.5pt" o:ole="">
            <v:imagedata r:id="rId54" o:title=""/>
          </v:shape>
          <o:OLEObject Type="Embed" ProgID="Excel.Sheet.12" ShapeID="_x0000_i1046" DrawAspect="Content" ObjectID="_1661757475" r:id="rId55"/>
        </w:object>
      </w:r>
    </w:p>
    <w:p w14:paraId="283A29F5" w14:textId="77777777" w:rsidR="001F7D9B" w:rsidRPr="00E039B2" w:rsidRDefault="001F7D9B" w:rsidP="001F7D9B">
      <w:pPr>
        <w:spacing w:after="240" w:line="240" w:lineRule="auto"/>
        <w:ind w:left="2070" w:hanging="180"/>
        <w:jc w:val="both"/>
        <w:rPr>
          <w:rFonts w:ascii="Arial" w:eastAsia="Times New Roman" w:hAnsi="Arial" w:cs="Arial"/>
          <w:bCs/>
          <w:iCs/>
        </w:rPr>
      </w:pPr>
      <w:r w:rsidRPr="00E039B2">
        <w:rPr>
          <w:rFonts w:ascii="Arial" w:eastAsia="Times New Roman" w:hAnsi="Arial" w:cs="Arial"/>
          <w:bCs/>
          <w:iCs/>
          <w:u w:val="single"/>
        </w:rPr>
        <w:t>Advances To/From Other Funds</w:t>
      </w:r>
      <w:r w:rsidRPr="00E039B2">
        <w:rPr>
          <w:rFonts w:ascii="Arial" w:eastAsia="Times New Roman" w:hAnsi="Arial" w:cs="Arial"/>
          <w:bCs/>
          <w:iCs/>
        </w:rPr>
        <w:t xml:space="preserve"> </w:t>
      </w:r>
      <w:r w:rsidRPr="00E039B2">
        <w:rPr>
          <w:rFonts w:ascii="Arial" w:eastAsia="Times New Roman" w:hAnsi="Arial" w:cs="Arial"/>
          <w:b/>
          <w:bCs/>
          <w:iCs/>
          <w:color w:val="0000FF"/>
        </w:rPr>
        <w:t>[or Component Units]</w:t>
      </w:r>
    </w:p>
    <w:p w14:paraId="5A6871DF" w14:textId="0CAFC934" w:rsidR="001F7D9B" w:rsidRPr="00E039B2" w:rsidRDefault="001F7D9B" w:rsidP="001F7D9B">
      <w:pPr>
        <w:ind w:left="1890"/>
        <w:jc w:val="both"/>
        <w:rPr>
          <w:rFonts w:ascii="Arial" w:hAnsi="Arial" w:cs="Arial"/>
        </w:rPr>
      </w:pPr>
      <w:r w:rsidRPr="00E039B2">
        <w:rPr>
          <w:rFonts w:ascii="Arial" w:eastAsia="Times New Roman" w:hAnsi="Arial" w:cs="Arial"/>
          <w:bCs/>
          <w:iCs/>
        </w:rPr>
        <w:t xml:space="preserve">Advances to/from other funds </w:t>
      </w:r>
      <w:r w:rsidRPr="00E039B2">
        <w:rPr>
          <w:rFonts w:ascii="Arial" w:eastAsia="Times New Roman" w:hAnsi="Arial" w:cs="Arial"/>
          <w:b/>
          <w:bCs/>
          <w:iCs/>
          <w:color w:val="0000FF"/>
        </w:rPr>
        <w:t>[or Component Units]</w:t>
      </w:r>
      <w:r w:rsidRPr="00E039B2">
        <w:rPr>
          <w:rFonts w:ascii="Arial" w:eastAsia="Times New Roman" w:hAnsi="Arial" w:cs="Arial"/>
          <w:bCs/>
          <w:iCs/>
        </w:rPr>
        <w:t xml:space="preserve"> at June 30, </w:t>
      </w:r>
      <w:r w:rsidRPr="00E039B2">
        <w:rPr>
          <w:rFonts w:ascii="Arial" w:eastAsia="Times New Roman" w:hAnsi="Arial" w:cs="Arial"/>
          <w:bCs/>
          <w:iCs/>
          <w:highlight w:val="yellow"/>
        </w:rPr>
        <w:t>2020</w:t>
      </w:r>
      <w:r w:rsidRPr="00E039B2">
        <w:rPr>
          <w:rFonts w:ascii="Arial" w:eastAsia="Times New Roman" w:hAnsi="Arial" w:cs="Arial"/>
          <w:bCs/>
          <w:iCs/>
        </w:rPr>
        <w:t xml:space="preserve"> were as follows</w:t>
      </w:r>
      <w:r w:rsidRPr="00E039B2">
        <w:rPr>
          <w:rFonts w:ascii="Arial" w:hAnsi="Arial" w:cs="Arial"/>
        </w:rPr>
        <w:t xml:space="preserve">: </w:t>
      </w:r>
    </w:p>
    <w:p w14:paraId="73E557FE" w14:textId="77777777" w:rsidR="001F7D9B" w:rsidRPr="00E039B2" w:rsidRDefault="001F7D9B" w:rsidP="004A0566">
      <w:pPr>
        <w:ind w:left="2095" w:hanging="180"/>
        <w:jc w:val="both"/>
        <w:rPr>
          <w:rFonts w:ascii="Arial" w:hAnsi="Arial" w:cs="Arial"/>
        </w:rPr>
      </w:pPr>
      <w:r w:rsidRPr="00E039B2">
        <w:rPr>
          <w:color w:val="FF0000"/>
        </w:rPr>
        <w:object w:dxaOrig="7673" w:dyaOrig="2561" w14:anchorId="2C5ABFEC">
          <v:shape id="_x0000_i1047" type="#_x0000_t75" style="width:340.5pt;height:130.5pt" o:ole="">
            <v:imagedata r:id="rId56" o:title=""/>
          </v:shape>
          <o:OLEObject Type="Embed" ProgID="Excel.Sheet.12" ShapeID="_x0000_i1047" DrawAspect="Content" ObjectID="_1661757476" r:id="rId57"/>
        </w:object>
      </w:r>
    </w:p>
    <w:p w14:paraId="406D9F43" w14:textId="77777777" w:rsidR="001F7D9B" w:rsidRPr="00E039B2" w:rsidRDefault="001F7D9B" w:rsidP="001F7D9B">
      <w:pPr>
        <w:autoSpaceDE w:val="0"/>
        <w:autoSpaceDN w:val="0"/>
        <w:adjustRightInd w:val="0"/>
        <w:ind w:left="1440" w:firstLine="475"/>
        <w:jc w:val="both"/>
        <w:rPr>
          <w:rFonts w:ascii="Arial" w:hAnsi="Arial" w:cs="Arial"/>
          <w:b/>
          <w:i/>
          <w:color w:val="0000FF"/>
        </w:rPr>
      </w:pPr>
      <w:r w:rsidRPr="00E039B2">
        <w:rPr>
          <w:rFonts w:ascii="Arial" w:hAnsi="Arial" w:cs="Arial"/>
          <w:b/>
          <w:i/>
          <w:color w:val="0000FF"/>
        </w:rPr>
        <w:t>[Add additional information regarding advances as necessary]</w:t>
      </w:r>
    </w:p>
    <w:p w14:paraId="4883AE12" w14:textId="77777777" w:rsidR="001F7D9B" w:rsidRPr="00E039B2" w:rsidRDefault="001F7D9B" w:rsidP="001F7D9B">
      <w:pPr>
        <w:numPr>
          <w:ilvl w:val="0"/>
          <w:numId w:val="31"/>
        </w:numPr>
        <w:autoSpaceDE w:val="0"/>
        <w:autoSpaceDN w:val="0"/>
        <w:adjustRightInd w:val="0"/>
        <w:spacing w:after="0" w:line="240" w:lineRule="auto"/>
        <w:ind w:left="1915" w:hanging="475"/>
        <w:contextualSpacing/>
        <w:jc w:val="both"/>
        <w:rPr>
          <w:rFonts w:ascii="Arial" w:eastAsia="Times New Roman" w:hAnsi="Arial" w:cs="Arial"/>
          <w:b/>
        </w:rPr>
      </w:pPr>
      <w:r w:rsidRPr="00E039B2">
        <w:rPr>
          <w:rFonts w:ascii="Arial" w:eastAsia="Times New Roman" w:hAnsi="Arial" w:cs="Arial"/>
          <w:b/>
        </w:rPr>
        <w:t xml:space="preserve">Interfund Transfers </w:t>
      </w:r>
    </w:p>
    <w:p w14:paraId="7EB9D57B" w14:textId="77777777" w:rsidR="001F7D9B" w:rsidRPr="00E039B2" w:rsidRDefault="001F7D9B" w:rsidP="001F7D9B">
      <w:pPr>
        <w:autoSpaceDE w:val="0"/>
        <w:autoSpaceDN w:val="0"/>
        <w:adjustRightInd w:val="0"/>
        <w:spacing w:after="0" w:line="240" w:lineRule="auto"/>
        <w:ind w:left="2070"/>
        <w:contextualSpacing/>
        <w:jc w:val="both"/>
        <w:rPr>
          <w:rFonts w:ascii="Arial" w:eastAsia="Times New Roman" w:hAnsi="Arial" w:cs="Arial"/>
          <w:b/>
        </w:rPr>
      </w:pPr>
    </w:p>
    <w:p w14:paraId="3A3FD3EF" w14:textId="1D24F38E" w:rsidR="001F7D9B" w:rsidRPr="00E039B2" w:rsidRDefault="001F7D9B" w:rsidP="001F7D9B">
      <w:pPr>
        <w:autoSpaceDE w:val="0"/>
        <w:autoSpaceDN w:val="0"/>
        <w:adjustRightInd w:val="0"/>
        <w:spacing w:after="0" w:line="240" w:lineRule="auto"/>
        <w:ind w:left="1915"/>
        <w:jc w:val="both"/>
        <w:rPr>
          <w:rFonts w:ascii="Arial" w:eastAsia="Times New Roman" w:hAnsi="Arial" w:cs="Arial"/>
        </w:rPr>
      </w:pPr>
      <w:r w:rsidRPr="00E039B2">
        <w:rPr>
          <w:rFonts w:ascii="Arial" w:eastAsia="Times New Roman" w:hAnsi="Arial" w:cs="Arial"/>
        </w:rPr>
        <w:t xml:space="preserve">Transfers in/out of other funds for the fiscal year ended June 30, </w:t>
      </w:r>
      <w:r w:rsidRPr="00E039B2">
        <w:rPr>
          <w:rFonts w:ascii="Arial" w:eastAsia="Times New Roman" w:hAnsi="Arial" w:cs="Arial"/>
          <w:highlight w:val="yellow"/>
        </w:rPr>
        <w:t>2020</w:t>
      </w:r>
      <w:r w:rsidRPr="00E039B2">
        <w:rPr>
          <w:rFonts w:ascii="Arial" w:eastAsia="Times New Roman" w:hAnsi="Arial" w:cs="Arial"/>
        </w:rPr>
        <w:t xml:space="preserve"> consisted of the following:</w:t>
      </w:r>
    </w:p>
    <w:p w14:paraId="39070768" w14:textId="77777777" w:rsidR="00DB4AE8" w:rsidRPr="00E039B2" w:rsidRDefault="00DB4AE8" w:rsidP="001F7D9B">
      <w:pPr>
        <w:autoSpaceDE w:val="0"/>
        <w:autoSpaceDN w:val="0"/>
        <w:adjustRightInd w:val="0"/>
        <w:spacing w:after="0" w:line="240" w:lineRule="auto"/>
        <w:ind w:left="1915"/>
        <w:jc w:val="both"/>
        <w:rPr>
          <w:rFonts w:ascii="Arial" w:eastAsia="Times New Roman" w:hAnsi="Arial" w:cs="Arial"/>
        </w:rPr>
      </w:pPr>
    </w:p>
    <w:p w14:paraId="3DB2423A" w14:textId="00CF06FE" w:rsidR="001F7D9B" w:rsidRPr="00E039B2" w:rsidRDefault="004A0566" w:rsidP="001F7D9B">
      <w:pPr>
        <w:tabs>
          <w:tab w:val="left" w:pos="1915"/>
        </w:tabs>
        <w:ind w:left="1915"/>
        <w:jc w:val="both"/>
        <w:rPr>
          <w:rFonts w:ascii="Arial" w:hAnsi="Arial" w:cs="Arial"/>
        </w:rPr>
      </w:pPr>
      <w:r w:rsidRPr="00E039B2">
        <w:rPr>
          <w:rFonts w:ascii="Arial" w:hAnsi="Arial" w:cs="Arial"/>
        </w:rPr>
        <w:object w:dxaOrig="8703" w:dyaOrig="2166" w14:anchorId="308198C7">
          <v:shape id="_x0000_i1048" type="#_x0000_t75" style="width:355.5pt;height:96.75pt" o:ole="">
            <v:imagedata r:id="rId58" o:title=""/>
          </v:shape>
          <o:OLEObject Type="Embed" ProgID="Excel.Sheet.8" ShapeID="_x0000_i1048" DrawAspect="Content" ObjectID="_1661757477" r:id="rId59"/>
        </w:object>
      </w:r>
    </w:p>
    <w:p w14:paraId="7AA39311" w14:textId="77777777" w:rsidR="001F7D9B" w:rsidRPr="00E039B2" w:rsidRDefault="001F7D9B" w:rsidP="001F7D9B">
      <w:pPr>
        <w:tabs>
          <w:tab w:val="left" w:pos="2250"/>
        </w:tabs>
        <w:autoSpaceDE w:val="0"/>
        <w:autoSpaceDN w:val="0"/>
        <w:adjustRightInd w:val="0"/>
        <w:spacing w:after="240" w:line="240" w:lineRule="auto"/>
        <w:ind w:left="1890"/>
        <w:jc w:val="both"/>
        <w:rPr>
          <w:rFonts w:ascii="Arial" w:eastAsia="Times New Roman" w:hAnsi="Arial" w:cs="Arial"/>
        </w:rPr>
      </w:pPr>
      <w:r w:rsidRPr="00E039B2">
        <w:rPr>
          <w:rFonts w:ascii="Arial" w:eastAsia="Times New Roman" w:hAnsi="Arial" w:cs="Arial"/>
        </w:rPr>
        <w:t>Transfers are primarily used to (1) transfer revenues and proceeds from the fund required by State statute or budget to collect the revenue to the fund required by State statute or budget to expend them, (2) provide unrestricted revenues collected in the General Fund</w:t>
      </w:r>
      <w:r w:rsidRPr="00E039B2">
        <w:rPr>
          <w:rFonts w:ascii="Arial" w:eastAsia="Times New Roman" w:hAnsi="Arial" w:cs="Arial"/>
          <w:b/>
        </w:rPr>
        <w:t xml:space="preserve"> </w:t>
      </w:r>
      <w:r w:rsidRPr="00E039B2">
        <w:rPr>
          <w:rFonts w:ascii="Arial" w:eastAsia="Times New Roman" w:hAnsi="Arial" w:cs="Arial"/>
        </w:rPr>
        <w:t xml:space="preserve">to finance operating and capital programs accounted for in other funds in accordance with budgetary authorizations, and (3) reflect reversions of State funds from </w:t>
      </w:r>
      <w:r w:rsidRPr="00E039B2">
        <w:rPr>
          <w:rFonts w:ascii="Arial" w:eastAsia="Times New Roman" w:hAnsi="Arial" w:cs="Arial"/>
        </w:rPr>
        <w:lastRenderedPageBreak/>
        <w:t xml:space="preserve">other funds to the General Fund in accordance with Office of State Budget and Management or legislative requirements. </w:t>
      </w:r>
      <w:r w:rsidRPr="00E039B2">
        <w:rPr>
          <w:rFonts w:ascii="Arial" w:eastAsia="Times New Roman" w:hAnsi="Arial" w:cs="Arial"/>
          <w:b/>
          <w:i/>
          <w:color w:val="0000FF"/>
        </w:rPr>
        <w:t>[Modify as necessary.]</w:t>
      </w:r>
    </w:p>
    <w:p w14:paraId="79C6FC52" w14:textId="3CBDF76D" w:rsidR="00AA200E" w:rsidRPr="00E039B2" w:rsidRDefault="001F7D9B" w:rsidP="00A83CBE">
      <w:pPr>
        <w:tabs>
          <w:tab w:val="left" w:pos="1080"/>
          <w:tab w:val="left" w:pos="1980"/>
        </w:tabs>
        <w:spacing w:after="0" w:line="240" w:lineRule="auto"/>
        <w:ind w:left="1890"/>
        <w:jc w:val="both"/>
        <w:rPr>
          <w:rFonts w:ascii="Arial" w:eastAsia="Times New Roman" w:hAnsi="Arial" w:cs="Arial"/>
          <w:b/>
          <w:i/>
          <w:color w:val="0000FF"/>
        </w:rPr>
      </w:pPr>
      <w:r w:rsidRPr="00E039B2">
        <w:rPr>
          <w:rFonts w:ascii="Arial" w:eastAsia="Times New Roman" w:hAnsi="Arial" w:cs="Arial"/>
        </w:rPr>
        <w:t xml:space="preserve">The Department also had intrafund transfers within the </w:t>
      </w:r>
      <w:r w:rsidRPr="00E039B2">
        <w:rPr>
          <w:rFonts w:ascii="Arial" w:hAnsi="Arial" w:cs="Arial"/>
          <w:b/>
          <w:color w:val="0000FF"/>
        </w:rPr>
        <w:t>[fund name(s)]</w:t>
      </w:r>
      <w:r w:rsidRPr="00E039B2">
        <w:rPr>
          <w:rFonts w:ascii="Arial" w:eastAsia="Times New Roman" w:hAnsi="Arial" w:cs="Arial"/>
        </w:rPr>
        <w:t xml:space="preserve"> for fiscal year ended June 30, </w:t>
      </w:r>
      <w:r w:rsidRPr="00E039B2">
        <w:rPr>
          <w:rFonts w:ascii="Arial" w:eastAsia="Times New Roman" w:hAnsi="Arial" w:cs="Arial"/>
          <w:highlight w:val="yellow"/>
        </w:rPr>
        <w:t>2020</w:t>
      </w:r>
      <w:r w:rsidRPr="00E039B2">
        <w:rPr>
          <w:rFonts w:ascii="Arial" w:eastAsia="Times New Roman" w:hAnsi="Arial" w:cs="Arial"/>
        </w:rPr>
        <w:t>, in the amount of $</w:t>
      </w:r>
      <w:r w:rsidRPr="00E039B2">
        <w:rPr>
          <w:rFonts w:ascii="Arial" w:eastAsia="Times New Roman" w:hAnsi="Arial" w:cs="Arial"/>
          <w:b/>
          <w:color w:val="0000FF"/>
        </w:rPr>
        <w:t>_________</w:t>
      </w:r>
      <w:r w:rsidRPr="00E039B2">
        <w:rPr>
          <w:rFonts w:ascii="Arial" w:eastAsia="Times New Roman" w:hAnsi="Arial" w:cs="Arial"/>
        </w:rPr>
        <w:t>, which has been eliminated on the governmental fund financial statements.</w:t>
      </w:r>
      <w:r w:rsidRPr="00E039B2">
        <w:rPr>
          <w:rFonts w:ascii="Arial" w:eastAsia="Times New Roman" w:hAnsi="Arial" w:cs="Arial"/>
          <w:b/>
          <w:color w:val="0000FF"/>
        </w:rPr>
        <w:t xml:space="preserve"> </w:t>
      </w:r>
      <w:r w:rsidRPr="00E039B2">
        <w:rPr>
          <w:rFonts w:ascii="Arial" w:eastAsia="Times New Roman" w:hAnsi="Arial" w:cs="Arial"/>
          <w:b/>
          <w:i/>
          <w:color w:val="0000FF"/>
        </w:rPr>
        <w:t>[If eliminations are not being made, modify.]</w:t>
      </w:r>
      <w:r w:rsidRPr="00E039B2">
        <w:rPr>
          <w:rFonts w:ascii="Arial" w:eastAsia="Times New Roman" w:hAnsi="Arial" w:cs="Arial"/>
          <w:color w:val="0000FF"/>
        </w:rPr>
        <w:t xml:space="preserve"> </w:t>
      </w:r>
      <w:r w:rsidRPr="00E039B2">
        <w:rPr>
          <w:rFonts w:ascii="Arial" w:eastAsia="Times New Roman" w:hAnsi="Arial" w:cs="Arial"/>
        </w:rPr>
        <w:t xml:space="preserve">These </w:t>
      </w:r>
      <w:r w:rsidRPr="00E039B2">
        <w:rPr>
          <w:rFonts w:ascii="Arial" w:hAnsi="Arial" w:cs="Arial"/>
          <w:b/>
          <w:color w:val="0000FF"/>
        </w:rPr>
        <w:t xml:space="preserve">[fund name(s)] </w:t>
      </w:r>
      <w:r w:rsidRPr="00E039B2">
        <w:rPr>
          <w:rFonts w:ascii="Arial" w:eastAsia="Times New Roman" w:hAnsi="Arial" w:cs="Arial"/>
        </w:rPr>
        <w:t xml:space="preserve">transfers primarily consist of transfers for </w:t>
      </w:r>
      <w:r w:rsidRPr="00E039B2">
        <w:rPr>
          <w:rFonts w:ascii="Arial" w:eastAsia="Times New Roman" w:hAnsi="Arial" w:cs="Arial"/>
          <w:b/>
          <w:color w:val="0000FF"/>
        </w:rPr>
        <w:t>[reason]</w:t>
      </w:r>
      <w:r w:rsidRPr="00E039B2">
        <w:rPr>
          <w:rFonts w:ascii="Arial" w:eastAsia="Times New Roman" w:hAnsi="Arial" w:cs="Arial"/>
        </w:rPr>
        <w:t xml:space="preserve">, which the Department transfers to the fund authorized to account for the expenditures. </w:t>
      </w:r>
      <w:r w:rsidRPr="00E039B2">
        <w:rPr>
          <w:rFonts w:ascii="Arial" w:eastAsia="Times New Roman" w:hAnsi="Arial" w:cs="Arial"/>
          <w:b/>
          <w:i/>
          <w:color w:val="0000FF"/>
        </w:rPr>
        <w:t>[This presentation is optional. Include description of any significant transfers. Remove if intrafund transfers are not presented.]</w:t>
      </w:r>
    </w:p>
    <w:p w14:paraId="5E0B4AAF" w14:textId="77777777" w:rsidR="00DB4AE8" w:rsidRPr="00E039B2" w:rsidRDefault="00DB4AE8" w:rsidP="00DB4AE8">
      <w:pPr>
        <w:tabs>
          <w:tab w:val="left" w:pos="1080"/>
        </w:tabs>
        <w:spacing w:before="480" w:after="240"/>
        <w:ind w:left="1440" w:hanging="1440"/>
        <w:rPr>
          <w:rFonts w:ascii="Arial" w:eastAsia="Calibri" w:hAnsi="Arial" w:cs="Arial"/>
          <w:b/>
          <w:smallCaps/>
        </w:rPr>
      </w:pPr>
      <w:r w:rsidRPr="00E039B2">
        <w:rPr>
          <w:rFonts w:ascii="Arial" w:eastAsia="Calibri" w:hAnsi="Arial" w:cs="Arial"/>
          <w:b/>
          <w:smallCaps/>
        </w:rPr>
        <w:t>Note 13</w:t>
      </w:r>
      <w:r w:rsidRPr="00E039B2">
        <w:rPr>
          <w:rFonts w:ascii="Arial" w:eastAsia="Calibri" w:hAnsi="Arial" w:cs="Arial"/>
          <w:b/>
          <w:smallCaps/>
        </w:rPr>
        <w:tab/>
        <w:t>-</w:t>
      </w:r>
      <w:r w:rsidRPr="00E039B2">
        <w:rPr>
          <w:rFonts w:ascii="Arial" w:eastAsia="Calibri" w:hAnsi="Arial" w:cs="Arial"/>
          <w:b/>
          <w:smallCaps/>
        </w:rPr>
        <w:tab/>
        <w:t xml:space="preserve">Retirement Plans </w:t>
      </w:r>
    </w:p>
    <w:p w14:paraId="723D139B" w14:textId="77777777" w:rsidR="00DB4AE8" w:rsidRPr="00E039B2" w:rsidRDefault="00DB4AE8" w:rsidP="00DB4AE8">
      <w:pPr>
        <w:numPr>
          <w:ilvl w:val="0"/>
          <w:numId w:val="15"/>
        </w:numPr>
        <w:spacing w:after="0" w:line="360" w:lineRule="auto"/>
        <w:ind w:left="1886" w:hanging="446"/>
        <w:contextualSpacing/>
        <w:rPr>
          <w:rFonts w:ascii="Arial" w:eastAsia="Calibri" w:hAnsi="Arial" w:cs="Arial"/>
          <w:b/>
        </w:rPr>
      </w:pPr>
      <w:r w:rsidRPr="00E039B2">
        <w:rPr>
          <w:rFonts w:ascii="Arial" w:eastAsia="Calibri" w:hAnsi="Arial" w:cs="Arial"/>
          <w:b/>
        </w:rPr>
        <w:t>Cost-Sharing, Multiple-Employer, Defined Benefit Plan</w:t>
      </w:r>
    </w:p>
    <w:p w14:paraId="2C262110" w14:textId="77777777" w:rsidR="00DB4AE8" w:rsidRPr="00E039B2" w:rsidRDefault="00DB4AE8" w:rsidP="00DB4AE8">
      <w:pPr>
        <w:spacing w:line="240" w:lineRule="auto"/>
        <w:ind w:left="1890"/>
        <w:jc w:val="both"/>
        <w:rPr>
          <w:rFonts w:ascii="Arial" w:eastAsia="Calibri" w:hAnsi="Arial" w:cs="Arial"/>
          <w:i/>
        </w:rPr>
      </w:pPr>
      <w:r w:rsidRPr="00E039B2">
        <w:rPr>
          <w:rFonts w:ascii="Arial" w:eastAsia="Calibri" w:hAnsi="Arial" w:cs="Arial"/>
        </w:rPr>
        <w:t xml:space="preserve">Pension contributions to cost sharing plans are recognized as expenditures in the period to which the payment relates, even if payment is not due until the subsequent period. Consequently, the net pension liability, discussed in Note </w:t>
      </w:r>
      <w:r w:rsidRPr="00E039B2">
        <w:rPr>
          <w:rFonts w:ascii="Arial" w:eastAsia="Calibri" w:hAnsi="Arial" w:cs="Arial"/>
          <w:b/>
          <w:color w:val="0070C0"/>
        </w:rPr>
        <w:t>X</w:t>
      </w:r>
      <w:r w:rsidRPr="00E039B2">
        <w:rPr>
          <w:rFonts w:ascii="Arial" w:eastAsia="Calibri" w:hAnsi="Arial" w:cs="Arial"/>
        </w:rPr>
        <w:t xml:space="preserve"> to the financial statements, is not reported on the face of the governmental funds’ financial statements. However, the net pension liability for proprietary funds is reported on the face of the proprietary funds’ financial statements.</w:t>
      </w:r>
    </w:p>
    <w:p w14:paraId="4DCF311D" w14:textId="77777777" w:rsidR="00DB4AE8" w:rsidRPr="00E039B2" w:rsidRDefault="00DB4AE8" w:rsidP="00DB4AE8">
      <w:pPr>
        <w:spacing w:line="240" w:lineRule="auto"/>
        <w:ind w:left="1890"/>
        <w:jc w:val="both"/>
        <w:rPr>
          <w:rFonts w:ascii="Arial" w:eastAsia="Calibri" w:hAnsi="Arial" w:cs="Arial"/>
        </w:rPr>
      </w:pPr>
      <w:r w:rsidRPr="00E039B2">
        <w:rPr>
          <w:rFonts w:ascii="Arial" w:eastAsia="Calibri" w:hAnsi="Arial" w:cs="Arial"/>
          <w:i/>
        </w:rPr>
        <w:t>Plan Administration:</w:t>
      </w:r>
      <w:r w:rsidRPr="00E039B2">
        <w:rPr>
          <w:rFonts w:ascii="Arial" w:eastAsia="Calibri" w:hAnsi="Arial" w:cs="Arial"/>
        </w:rPr>
        <w:t xml:space="preserve"> The State of North Carolina administers the Teachers’ and State Employees’ Retirement System (TSERS) plan. This plan is a cost-sharing, multiple-employer,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(state agencies and institutions), universities, community colleges, and certain proprietary component units along with the LEAs and charter schools that elect to join the Retirement System. Benefit provisions are established by General Statute 135-5 and may be amended only by the North Carolina General Assembly. </w:t>
      </w:r>
    </w:p>
    <w:p w14:paraId="209BF842" w14:textId="5EC9E75D" w:rsidR="00DB4AE8" w:rsidRPr="00E039B2" w:rsidRDefault="00DB4AE8" w:rsidP="00DB4AE8">
      <w:pPr>
        <w:spacing w:line="240" w:lineRule="auto"/>
        <w:ind w:left="1890"/>
        <w:jc w:val="both"/>
        <w:rPr>
          <w:rFonts w:ascii="Arial" w:eastAsia="Calibri" w:hAnsi="Arial" w:cs="Arial"/>
        </w:rPr>
      </w:pPr>
      <w:r w:rsidRPr="00E039B2">
        <w:rPr>
          <w:rFonts w:ascii="Arial" w:eastAsia="Calibri" w:hAnsi="Arial" w:cs="Arial"/>
          <w:i/>
        </w:rPr>
        <w:t>Benefits Provided</w:t>
      </w:r>
      <w:r w:rsidRPr="00E039B2">
        <w:rPr>
          <w:rFonts w:ascii="Arial" w:eastAsia="Calibri" w:hAnsi="Arial" w:cs="Arial"/>
        </w:rPr>
        <w:t xml:space="preserve">: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General employee plan members are eligible to retire with partial retirement benefits at age 50 with 20 years of creditable service or at age 60 with five years of creditable service. Survivor benefits are available to eligible beneficiaries of general members who die while in active service or within 180 days of their last day of service and who also have either completed 20 years of creditable service regardless of age, or have </w:t>
      </w:r>
      <w:r w:rsidRPr="00E039B2">
        <w:rPr>
          <w:rFonts w:ascii="Arial" w:eastAsia="Calibri" w:hAnsi="Arial" w:cs="Arial"/>
        </w:rPr>
        <w:lastRenderedPageBreak/>
        <w:t>completed five years of service and have reached age 60. Eligible beneficiaries may elect to receive a monthly Survivor’s Alternate Benefit for life or a return of the member’s contributions. The plan does not provide for automatic post-retirement benefit increases.</w:t>
      </w:r>
      <w:r w:rsidRPr="00E039B2">
        <w:rPr>
          <w:rFonts w:ascii="Arial" w:eastAsia="Calibri" w:hAnsi="Arial" w:cs="Arial"/>
          <w:highlight w:val="green"/>
        </w:rPr>
        <w:t xml:space="preserve"> </w:t>
      </w:r>
    </w:p>
    <w:p w14:paraId="1A8FC3D6" w14:textId="77777777" w:rsidR="00DB4AE8" w:rsidRPr="00E039B2" w:rsidRDefault="00DB4AE8" w:rsidP="00DB4AE8">
      <w:pPr>
        <w:spacing w:after="240" w:line="240" w:lineRule="auto"/>
        <w:ind w:left="1890"/>
        <w:jc w:val="both"/>
        <w:rPr>
          <w:rFonts w:ascii="Arial" w:eastAsia="Calibri" w:hAnsi="Arial" w:cs="Arial"/>
        </w:rPr>
      </w:pPr>
      <w:r w:rsidRPr="00E039B2">
        <w:rPr>
          <w:rFonts w:ascii="Arial" w:eastAsia="Calibri" w:hAnsi="Arial" w:cs="Arial"/>
        </w:rPr>
        <w:t xml:space="preserve">TSERS plan members who are LEOs are eligible to retire with full retirement benefits at age 55 with five years of creditable service as an officer, or at any age with 30 years of creditable service. LEO plan members are eligible to retire with partial retirement benefits at age 50 with 15 years of creditable service as an officer. Survivor benefits are available to eligible beneficiaries of LEO members who die while in active service or within 180 days of their last day of service and who also have either completed 20 years of creditable service (not including sick leave) regardless of age, or have completed 15 years of creditable service as an LEO and have reached age 50, or have completed five years of creditable service as an LEO and have reached age 55, or have completed 15 years of creditable service as an LEO if killed in the line of duty. Eligible beneficiaries may elect to receive a monthly Survivor’s Alternate Benefit for life or a return of the member’s contributions. </w:t>
      </w:r>
    </w:p>
    <w:p w14:paraId="1858A3A3" w14:textId="7460D55E" w:rsidR="00DB4AE8" w:rsidRPr="00E039B2" w:rsidRDefault="00DB4AE8" w:rsidP="00DB4AE8">
      <w:pPr>
        <w:spacing w:line="240" w:lineRule="auto"/>
        <w:ind w:left="1890"/>
        <w:jc w:val="both"/>
        <w:rPr>
          <w:rFonts w:ascii="Arial" w:eastAsia="Calibri" w:hAnsi="Arial" w:cs="Arial"/>
        </w:rPr>
      </w:pPr>
      <w:r w:rsidRPr="00E039B2">
        <w:rPr>
          <w:rFonts w:ascii="Arial" w:eastAsia="Calibri" w:hAnsi="Arial" w:cs="Arial"/>
          <w:i/>
        </w:rPr>
        <w:t>Contributions:</w:t>
      </w:r>
      <w:r w:rsidRPr="00E039B2">
        <w:rPr>
          <w:rFonts w:ascii="Arial" w:eastAsia="Calibri" w:hAnsi="Arial" w:cs="Arial"/>
        </w:rPr>
        <w:t xml:space="preserve"> Contribution provisions are established by General </w:t>
      </w:r>
      <w:r w:rsidRPr="00E039B2">
        <w:rPr>
          <w:rFonts w:ascii="Arial" w:eastAsia="Calibri" w:hAnsi="Arial" w:cs="Arial"/>
        </w:rPr>
        <w:br/>
        <w:t xml:space="preserve">Statute 135-8 and may be amended only by the North Carolina General Assembly. Employees are required to contribute 6% of their annual pay. The contribution rate for employers is set each year by the North Carolina General Assembly in the Appropriations Act based on the actuarially-determined rate recommended by the actuary. The Department’s contractually-required contribution rate for the year ended June 30, </w:t>
      </w:r>
      <w:r w:rsidRPr="00E039B2">
        <w:rPr>
          <w:rFonts w:ascii="Arial" w:eastAsia="Calibri" w:hAnsi="Arial" w:cs="Arial"/>
          <w:highlight w:val="yellow"/>
        </w:rPr>
        <w:t>2020</w:t>
      </w:r>
      <w:r w:rsidRPr="00E039B2">
        <w:rPr>
          <w:rFonts w:ascii="Arial" w:eastAsia="Calibri" w:hAnsi="Arial" w:cs="Arial"/>
        </w:rPr>
        <w:t xml:space="preserve"> was</w:t>
      </w:r>
      <w:r w:rsidR="003C24F6">
        <w:rPr>
          <w:rFonts w:ascii="Arial" w:eastAsia="Calibri" w:hAnsi="Arial" w:cs="Arial"/>
        </w:rPr>
        <w:t xml:space="preserve"> </w:t>
      </w:r>
      <w:r w:rsidRPr="00E039B2">
        <w:rPr>
          <w:rFonts w:ascii="Arial" w:eastAsia="Calibri" w:hAnsi="Arial" w:cs="Arial"/>
          <w:highlight w:val="yellow"/>
        </w:rPr>
        <w:t>12.97%</w:t>
      </w:r>
      <w:r w:rsidRPr="00E039B2">
        <w:rPr>
          <w:rFonts w:ascii="Arial" w:eastAsia="Calibri" w:hAnsi="Arial" w:cs="Arial"/>
        </w:rPr>
        <w:t xml:space="preserve"> of covered payroll. Employee contributions to the pension plan were $______, and the Department’s contributions were $_______ for the year ended June 30, </w:t>
      </w:r>
      <w:r w:rsidRPr="00E039B2">
        <w:rPr>
          <w:rFonts w:ascii="Arial" w:eastAsia="Calibri" w:hAnsi="Arial" w:cs="Arial"/>
          <w:highlight w:val="yellow"/>
        </w:rPr>
        <w:t>2020</w:t>
      </w:r>
      <w:r w:rsidRPr="00E039B2">
        <w:rPr>
          <w:rFonts w:ascii="Arial" w:eastAsia="Calibri" w:hAnsi="Arial" w:cs="Arial"/>
        </w:rPr>
        <w:t xml:space="preserve">. </w:t>
      </w:r>
      <w:r w:rsidRPr="00E039B2">
        <w:rPr>
          <w:rFonts w:ascii="Arial" w:eastAsia="Calibri" w:hAnsi="Arial" w:cs="Arial"/>
          <w:highlight w:val="yellow"/>
        </w:rPr>
        <w:t>Of this amount,</w:t>
      </w:r>
      <w:r w:rsidRPr="00E039B2">
        <w:rPr>
          <w:rFonts w:ascii="Arial" w:eastAsia="Calibri" w:hAnsi="Arial" w:cs="Arial"/>
        </w:rPr>
        <w:t xml:space="preserve"> the </w:t>
      </w:r>
      <w:r w:rsidRPr="00E039B2">
        <w:rPr>
          <w:rFonts w:ascii="Arial" w:eastAsia="Calibri" w:hAnsi="Arial" w:cs="Arial"/>
          <w:color w:val="0000FF"/>
        </w:rPr>
        <w:t xml:space="preserve">[component unit/proprietary funds] </w:t>
      </w:r>
      <w:r w:rsidRPr="00E039B2">
        <w:rPr>
          <w:rFonts w:ascii="Arial" w:eastAsia="Calibri" w:hAnsi="Arial" w:cs="Arial"/>
        </w:rPr>
        <w:t xml:space="preserve">contributed $________. </w:t>
      </w:r>
      <w:r w:rsidRPr="00E039B2">
        <w:rPr>
          <w:rFonts w:ascii="Arial" w:eastAsia="Calibri" w:hAnsi="Arial" w:cs="Arial"/>
          <w:b/>
          <w:color w:val="0000FF"/>
        </w:rPr>
        <w:t>[Remove reference to component unit/proprietary funds if not applicable.]</w:t>
      </w:r>
    </w:p>
    <w:p w14:paraId="1B8A7537" w14:textId="5E818E2A" w:rsidR="00DB4AE8" w:rsidRPr="00E039B2" w:rsidRDefault="00DB4AE8" w:rsidP="00DB4AE8">
      <w:pPr>
        <w:spacing w:line="240" w:lineRule="auto"/>
        <w:ind w:left="1890"/>
        <w:jc w:val="both"/>
        <w:rPr>
          <w:rFonts w:ascii="Arial" w:eastAsia="Calibri" w:hAnsi="Arial" w:cs="Arial"/>
          <w:highlight w:val="yellow"/>
        </w:rPr>
      </w:pPr>
      <w:r w:rsidRPr="00E039B2">
        <w:rPr>
          <w:rFonts w:ascii="Arial" w:eastAsia="Calibri" w:hAnsi="Arial" w:cs="Arial"/>
        </w:rPr>
        <w:t xml:space="preserve">The TSERS plan’s financial information, including all information about the plan’s assets, deferred outflows of resources, liabilities, deferred inflows of resources, and fiduciary net position, is included in the State of North Carolina’s fiscal year </w:t>
      </w:r>
      <w:r w:rsidRPr="00E039B2">
        <w:rPr>
          <w:rFonts w:ascii="Arial" w:eastAsia="Calibri" w:hAnsi="Arial" w:cs="Arial"/>
          <w:highlight w:val="yellow"/>
        </w:rPr>
        <w:t>2019</w:t>
      </w:r>
      <w:r w:rsidRPr="00E039B2">
        <w:rPr>
          <w:rFonts w:ascii="Arial" w:eastAsia="Calibri" w:hAnsi="Arial" w:cs="Arial"/>
        </w:rPr>
        <w:t xml:space="preserve"> </w:t>
      </w:r>
      <w:r w:rsidRPr="00E039B2">
        <w:rPr>
          <w:rFonts w:ascii="Arial" w:eastAsia="Calibri" w:hAnsi="Arial" w:cs="Arial"/>
          <w:i/>
        </w:rPr>
        <w:t>Comprehensive Annual Financial Report</w:t>
      </w:r>
      <w:r w:rsidRPr="00E039B2">
        <w:rPr>
          <w:rFonts w:ascii="Arial" w:eastAsia="Calibri" w:hAnsi="Arial" w:cs="Arial"/>
        </w:rPr>
        <w:t xml:space="preserve">. </w:t>
      </w:r>
      <w:r w:rsidRPr="00E039B2">
        <w:rPr>
          <w:rFonts w:ascii="Arial" w:eastAsia="Times New Roman" w:hAnsi="Arial" w:cs="Arial"/>
        </w:rPr>
        <w:t xml:space="preserve">An electronic version of this report is available on the North Carolina Office of the State Controller’s website at https://www.osc.nc.gov/ or by calling the State Controller’s Financial Reporting Section at (919) 707-0500. </w:t>
      </w:r>
    </w:p>
    <w:p w14:paraId="29BF8005" w14:textId="77777777" w:rsidR="00DB4AE8" w:rsidRPr="00E039B2" w:rsidRDefault="00DB4AE8" w:rsidP="00DB4AE8">
      <w:pPr>
        <w:spacing w:line="240" w:lineRule="auto"/>
        <w:ind w:left="1890"/>
        <w:jc w:val="both"/>
        <w:rPr>
          <w:rFonts w:ascii="Arial" w:eastAsia="Calibri" w:hAnsi="Arial" w:cs="Arial"/>
          <w:strike/>
        </w:rPr>
      </w:pPr>
      <w:r w:rsidRPr="00E039B2">
        <w:rPr>
          <w:rFonts w:ascii="Arial" w:eastAsia="Calibri" w:hAnsi="Arial" w:cs="Arial"/>
          <w:i/>
        </w:rPr>
        <w:t>TSERS Basis of Accounting:</w:t>
      </w:r>
      <w:r w:rsidRPr="00E039B2">
        <w:rPr>
          <w:rFonts w:ascii="Arial" w:eastAsia="Calibri" w:hAnsi="Arial" w:cs="Arial"/>
        </w:rPr>
        <w:t xml:space="preserve"> The financial statements of the TSERS plan were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each plan.  For purposes of measuring the net pension liability, deferred outflows of resources and deferred inflows of resources related to pensions, and pension expense, information about the fiduciary net position of the TSERS plan, and additions to/deductions from the TSERS </w:t>
      </w:r>
      <w:r w:rsidRPr="00E039B2">
        <w:rPr>
          <w:rFonts w:ascii="Arial" w:eastAsia="Calibri" w:hAnsi="Arial" w:cs="Arial"/>
        </w:rPr>
        <w:lastRenderedPageBreak/>
        <w:t>plan’s fiduciary net position have been determined on the same basis as they are reported by TSERS.</w:t>
      </w:r>
    </w:p>
    <w:p w14:paraId="329F0CC5" w14:textId="4065DEDC" w:rsidR="00DB4AE8" w:rsidRPr="00E039B2" w:rsidRDefault="00DB4AE8" w:rsidP="00DB4AE8">
      <w:pPr>
        <w:spacing w:line="240" w:lineRule="auto"/>
        <w:ind w:left="1890"/>
        <w:jc w:val="both"/>
        <w:rPr>
          <w:rFonts w:ascii="Arial" w:eastAsia="Calibri" w:hAnsi="Arial" w:cs="Arial"/>
          <w:i/>
        </w:rPr>
      </w:pPr>
      <w:r w:rsidRPr="00E039B2">
        <w:rPr>
          <w:rFonts w:ascii="Arial" w:eastAsia="Calibri" w:hAnsi="Arial" w:cs="Arial"/>
          <w:i/>
        </w:rPr>
        <w:t>Methods Used to Value TSERS Investments:</w:t>
      </w:r>
      <w:r w:rsidRPr="00E039B2">
        <w:rPr>
          <w:rFonts w:ascii="Arial" w:eastAsia="Calibri" w:hAnsi="Arial" w:cs="Arial"/>
        </w:rPr>
        <w:t xml:space="preserve"> Pursuant to </w:t>
      </w:r>
      <w:r w:rsidRPr="00E039B2">
        <w:rPr>
          <w:rFonts w:ascii="Arial" w:eastAsia="Calibri" w:hAnsi="Arial" w:cs="Arial"/>
          <w:i/>
        </w:rPr>
        <w:t>North Carolina General Statutes</w:t>
      </w:r>
      <w:r w:rsidRPr="00E039B2">
        <w:rPr>
          <w:rFonts w:ascii="Arial" w:eastAsia="Calibri" w:hAnsi="Arial" w:cs="Arial"/>
        </w:rPr>
        <w:t xml:space="preserve">, the State Treasurer is the custodian and administrator of the retirement systems. The State Treasurer maintains various investment portfolios in its External Investment Pool. TSERS and other pension plans of the State of North Carolina are the sole participants in the Long-Term Investment, Fixed Income Investment, Equity Investment, Real Estate Investment, Alternative Investment, Opportunistic Fixed Income Investment, and Inflation Sensitive Investment </w:t>
      </w:r>
      <w:r w:rsidR="00127C4F" w:rsidRPr="00E039B2">
        <w:rPr>
          <w:rFonts w:ascii="Arial" w:eastAsia="Calibri" w:hAnsi="Arial" w:cs="Arial"/>
        </w:rPr>
        <w:t>P</w:t>
      </w:r>
      <w:r w:rsidRPr="00E039B2">
        <w:rPr>
          <w:rFonts w:ascii="Arial" w:eastAsia="Calibri" w:hAnsi="Arial" w:cs="Arial"/>
        </w:rPr>
        <w:t xml:space="preserve">ortfolios. The Fixed Income Asset Class includes the Long-Term Investment and Fixed Income Investment Portfolios. The Global Equity Asset Class includes the Equity Investment Portfolio. The investment balance of each pension trust fund represents its share of the fair value of the net position of the various portfolios within the External Investment Pool. Detailed descriptions of the methods and significant assumptions regarding investments of the State Treasurer are provided in the </w:t>
      </w:r>
      <w:r w:rsidRPr="00E039B2">
        <w:rPr>
          <w:rFonts w:ascii="Arial" w:eastAsia="Calibri" w:hAnsi="Arial" w:cs="Arial"/>
          <w:highlight w:val="yellow"/>
        </w:rPr>
        <w:t>2019</w:t>
      </w:r>
      <w:r w:rsidRPr="00E039B2">
        <w:rPr>
          <w:rFonts w:ascii="Arial" w:eastAsia="Calibri" w:hAnsi="Arial" w:cs="Arial"/>
        </w:rPr>
        <w:t xml:space="preserve"> </w:t>
      </w:r>
      <w:r w:rsidRPr="00E039B2">
        <w:rPr>
          <w:rFonts w:ascii="Arial" w:eastAsia="Calibri" w:hAnsi="Arial" w:cs="Arial"/>
          <w:i/>
        </w:rPr>
        <w:t>Comprehensive Annual Financial Report</w:t>
      </w:r>
      <w:r w:rsidRPr="00E039B2">
        <w:rPr>
          <w:rFonts w:ascii="Arial" w:eastAsia="Calibri" w:hAnsi="Arial" w:cs="Arial"/>
        </w:rPr>
        <w:t xml:space="preserve">. </w:t>
      </w:r>
    </w:p>
    <w:p w14:paraId="1AB9A9F3" w14:textId="75F9F2A3" w:rsidR="00DB4AE8" w:rsidRPr="00E039B2" w:rsidRDefault="00DB4AE8" w:rsidP="00DB4AE8">
      <w:pPr>
        <w:spacing w:line="240" w:lineRule="auto"/>
        <w:ind w:left="1890"/>
        <w:jc w:val="both"/>
        <w:rPr>
          <w:rFonts w:ascii="Arial" w:eastAsia="Calibri" w:hAnsi="Arial" w:cs="Arial"/>
        </w:rPr>
      </w:pPr>
      <w:r w:rsidRPr="00E039B2">
        <w:rPr>
          <w:rFonts w:ascii="Arial" w:eastAsia="Calibri" w:hAnsi="Arial" w:cs="Arial"/>
          <w:i/>
        </w:rPr>
        <w:t>Net Pension Liability:</w:t>
      </w:r>
      <w:r w:rsidRPr="00E039B2">
        <w:rPr>
          <w:rFonts w:ascii="Arial" w:eastAsia="Calibri" w:hAnsi="Arial" w:cs="Arial"/>
        </w:rPr>
        <w:t xml:space="preserve"> At June 30, </w:t>
      </w:r>
      <w:r w:rsidRPr="00E039B2">
        <w:rPr>
          <w:rFonts w:ascii="Arial" w:eastAsia="Calibri" w:hAnsi="Arial" w:cs="Arial"/>
          <w:highlight w:val="yellow"/>
        </w:rPr>
        <w:t>2020</w:t>
      </w:r>
      <w:r w:rsidRPr="00E039B2">
        <w:rPr>
          <w:rFonts w:ascii="Arial" w:eastAsia="Calibri" w:hAnsi="Arial" w:cs="Arial"/>
        </w:rPr>
        <w:t xml:space="preserve">, the Department reported a liability of $_________ for its proportionate share of the collective net pension liability. </w:t>
      </w:r>
      <w:r w:rsidRPr="00E039B2">
        <w:rPr>
          <w:rFonts w:ascii="Arial" w:eastAsia="Calibri" w:hAnsi="Arial" w:cs="Arial"/>
          <w:highlight w:val="yellow"/>
        </w:rPr>
        <w:t>Of this amount</w:t>
      </w:r>
      <w:r w:rsidRPr="00E039B2">
        <w:rPr>
          <w:rFonts w:ascii="Arial" w:eastAsia="Calibri" w:hAnsi="Arial" w:cs="Arial"/>
        </w:rPr>
        <w:t xml:space="preserve">, the </w:t>
      </w:r>
      <w:r w:rsidRPr="00E039B2">
        <w:rPr>
          <w:rFonts w:ascii="Arial" w:eastAsia="Calibri" w:hAnsi="Arial" w:cs="Arial"/>
          <w:color w:val="0000FF"/>
        </w:rPr>
        <w:t xml:space="preserve">[component unit/proprietary funds] </w:t>
      </w:r>
      <w:r w:rsidRPr="00E039B2">
        <w:rPr>
          <w:rFonts w:ascii="Arial" w:eastAsia="Calibri" w:hAnsi="Arial" w:cs="Arial"/>
        </w:rPr>
        <w:t xml:space="preserve">reported $________. </w:t>
      </w:r>
      <w:r w:rsidRPr="00E039B2">
        <w:rPr>
          <w:rFonts w:ascii="Arial" w:eastAsia="Calibri" w:hAnsi="Arial" w:cs="Arial"/>
          <w:color w:val="0000FF"/>
        </w:rPr>
        <w:t xml:space="preserve">[Remove reference to component unit/proprietary funds if not applicable.] </w:t>
      </w:r>
      <w:r w:rsidRPr="00E039B2">
        <w:rPr>
          <w:rFonts w:ascii="Arial" w:eastAsia="Calibri" w:hAnsi="Arial" w:cs="Arial"/>
        </w:rPr>
        <w:t xml:space="preserve">The net pension liability was measured as of June </w:t>
      </w:r>
      <w:proofErr w:type="gramStart"/>
      <w:r w:rsidRPr="00E039B2">
        <w:rPr>
          <w:rFonts w:ascii="Arial" w:eastAsia="Calibri" w:hAnsi="Arial" w:cs="Arial"/>
        </w:rPr>
        <w:t xml:space="preserve">30,  </w:t>
      </w:r>
      <w:r w:rsidRPr="00E039B2">
        <w:rPr>
          <w:rFonts w:ascii="Arial" w:eastAsia="Calibri" w:hAnsi="Arial" w:cs="Arial"/>
          <w:highlight w:val="yellow"/>
        </w:rPr>
        <w:t>2019</w:t>
      </w:r>
      <w:proofErr w:type="gramEnd"/>
      <w:r w:rsidRPr="00E039B2">
        <w:rPr>
          <w:rFonts w:ascii="Arial" w:eastAsia="Calibri" w:hAnsi="Arial" w:cs="Arial"/>
        </w:rPr>
        <w:t xml:space="preserve">. The total pension liability used to calculate the net pension liability was determined by an actuarial valuation as of December </w:t>
      </w:r>
      <w:proofErr w:type="gramStart"/>
      <w:r w:rsidRPr="00E039B2">
        <w:rPr>
          <w:rFonts w:ascii="Arial" w:eastAsia="Calibri" w:hAnsi="Arial" w:cs="Arial"/>
        </w:rPr>
        <w:t xml:space="preserve">31,  </w:t>
      </w:r>
      <w:r w:rsidRPr="00E039B2">
        <w:rPr>
          <w:rFonts w:ascii="Arial" w:eastAsia="Calibri" w:hAnsi="Arial" w:cs="Arial"/>
          <w:highlight w:val="yellow"/>
        </w:rPr>
        <w:t>2018</w:t>
      </w:r>
      <w:proofErr w:type="gramEnd"/>
      <w:r w:rsidRPr="00E039B2">
        <w:rPr>
          <w:rFonts w:ascii="Arial" w:eastAsia="Calibri" w:hAnsi="Arial" w:cs="Arial"/>
        </w:rPr>
        <w:t xml:space="preserve">, and update procedures were used to roll forward the total pension liability to June 30, </w:t>
      </w:r>
      <w:r w:rsidRPr="00E039B2">
        <w:rPr>
          <w:rFonts w:ascii="Arial" w:eastAsia="Calibri" w:hAnsi="Arial" w:cs="Arial"/>
          <w:highlight w:val="yellow"/>
        </w:rPr>
        <w:t>2019</w:t>
      </w:r>
      <w:r w:rsidRPr="00E039B2">
        <w:rPr>
          <w:rFonts w:ascii="Arial" w:eastAsia="Calibri" w:hAnsi="Arial" w:cs="Arial"/>
        </w:rPr>
        <w:t xml:space="preserve">. The Department’s proportion of the net pension liability was based on the present value of future salaries for the Department relative to the present value of future salaries for all participating employers, actuarially-determined. As of June 30, </w:t>
      </w:r>
      <w:r w:rsidRPr="00E039B2">
        <w:rPr>
          <w:rFonts w:ascii="Arial" w:eastAsia="Calibri" w:hAnsi="Arial" w:cs="Arial"/>
          <w:highlight w:val="yellow"/>
        </w:rPr>
        <w:t>2019</w:t>
      </w:r>
      <w:r w:rsidRPr="00E039B2">
        <w:rPr>
          <w:rFonts w:ascii="Arial" w:eastAsia="Calibri" w:hAnsi="Arial" w:cs="Arial"/>
        </w:rPr>
        <w:t xml:space="preserve">, the Department’s proportion was _______%, which was an </w:t>
      </w:r>
      <w:r w:rsidRPr="00E039B2">
        <w:rPr>
          <w:rFonts w:ascii="Arial" w:eastAsia="Calibri" w:hAnsi="Arial" w:cs="Arial"/>
          <w:color w:val="0000FF"/>
        </w:rPr>
        <w:t xml:space="preserve">[increase/decrease] </w:t>
      </w:r>
      <w:r w:rsidRPr="00E039B2">
        <w:rPr>
          <w:rFonts w:ascii="Arial" w:eastAsia="Calibri" w:hAnsi="Arial" w:cs="Arial"/>
        </w:rPr>
        <w:t xml:space="preserve">of _______ from its proportion measured as of June 30, </w:t>
      </w:r>
      <w:r w:rsidRPr="00E039B2">
        <w:rPr>
          <w:rFonts w:ascii="Arial" w:eastAsia="Calibri" w:hAnsi="Arial" w:cs="Arial"/>
          <w:highlight w:val="yellow"/>
        </w:rPr>
        <w:t>2018</w:t>
      </w:r>
      <w:r w:rsidRPr="00E039B2">
        <w:rPr>
          <w:rFonts w:ascii="Arial" w:eastAsia="Calibri" w:hAnsi="Arial" w:cs="Arial"/>
        </w:rPr>
        <w:t xml:space="preserve">, which was ________%. </w:t>
      </w:r>
      <w:r w:rsidRPr="00E039B2">
        <w:rPr>
          <w:rFonts w:ascii="Arial" w:eastAsia="Calibri" w:hAnsi="Arial" w:cs="Arial"/>
          <w:highlight w:val="yellow"/>
        </w:rPr>
        <w:t>Of this amount,</w:t>
      </w:r>
      <w:r w:rsidRPr="00E039B2">
        <w:rPr>
          <w:rFonts w:ascii="Arial" w:eastAsia="Calibri" w:hAnsi="Arial" w:cs="Arial"/>
        </w:rPr>
        <w:t xml:space="preserve"> the </w:t>
      </w:r>
      <w:r w:rsidRPr="00E039B2">
        <w:rPr>
          <w:rFonts w:ascii="Arial" w:eastAsia="Calibri" w:hAnsi="Arial" w:cs="Arial"/>
          <w:color w:val="0000FF"/>
        </w:rPr>
        <w:t xml:space="preserve">[component unit/proprietary funds’] </w:t>
      </w:r>
      <w:r w:rsidRPr="00E039B2">
        <w:rPr>
          <w:rFonts w:ascii="Arial" w:eastAsia="Calibri" w:hAnsi="Arial" w:cs="Arial"/>
        </w:rPr>
        <w:t xml:space="preserve">share was _______%, which was an </w:t>
      </w:r>
      <w:r w:rsidRPr="00E039B2">
        <w:rPr>
          <w:rFonts w:ascii="Arial" w:eastAsia="Calibri" w:hAnsi="Arial" w:cs="Arial"/>
          <w:color w:val="0000FF"/>
        </w:rPr>
        <w:t xml:space="preserve">[increase/decrease] </w:t>
      </w:r>
      <w:r w:rsidRPr="00E039B2">
        <w:rPr>
          <w:rFonts w:ascii="Arial" w:eastAsia="Calibri" w:hAnsi="Arial" w:cs="Arial"/>
        </w:rPr>
        <w:t xml:space="preserve">of ______ from its proportion measured as of June 30, </w:t>
      </w:r>
      <w:r w:rsidRPr="00E039B2">
        <w:rPr>
          <w:rFonts w:ascii="Arial" w:eastAsia="Calibri" w:hAnsi="Arial" w:cs="Arial"/>
          <w:highlight w:val="yellow"/>
        </w:rPr>
        <w:t>2018</w:t>
      </w:r>
      <w:r w:rsidRPr="00E039B2">
        <w:rPr>
          <w:rFonts w:ascii="Arial" w:eastAsia="Calibri" w:hAnsi="Arial" w:cs="Arial"/>
        </w:rPr>
        <w:t xml:space="preserve">, which was _________%. </w:t>
      </w:r>
    </w:p>
    <w:p w14:paraId="5FB99496" w14:textId="77777777" w:rsidR="00DB4AE8" w:rsidRPr="00E039B2" w:rsidRDefault="00DB4AE8" w:rsidP="00DB4AE8">
      <w:pPr>
        <w:spacing w:after="0" w:line="240" w:lineRule="auto"/>
        <w:ind w:left="1890"/>
        <w:contextualSpacing/>
        <w:jc w:val="both"/>
        <w:rPr>
          <w:rFonts w:ascii="Arial" w:eastAsia="Calibri" w:hAnsi="Arial" w:cs="Arial"/>
          <w:b/>
        </w:rPr>
      </w:pPr>
      <w:r w:rsidRPr="00E039B2">
        <w:rPr>
          <w:rFonts w:ascii="Arial" w:eastAsia="Calibri" w:hAnsi="Arial" w:cs="Arial"/>
          <w:i/>
        </w:rPr>
        <w:t>Actuarial Assumptions:</w:t>
      </w:r>
      <w:r w:rsidRPr="00E039B2">
        <w:rPr>
          <w:rFonts w:ascii="Arial" w:eastAsia="Calibri" w:hAnsi="Arial" w:cs="Arial"/>
          <w:b/>
        </w:rPr>
        <w:t xml:space="preserve"> </w:t>
      </w:r>
      <w:r w:rsidRPr="00E039B2">
        <w:rPr>
          <w:rFonts w:ascii="Arial" w:eastAsia="Calibri" w:hAnsi="Arial" w:cs="Arial"/>
        </w:rPr>
        <w:t>The following table presents the actuarial assumptions used to determine the total pension liability for the TSERS plan at the actuarial valuation date</w:t>
      </w:r>
      <w:r w:rsidRPr="00E039B2">
        <w:rPr>
          <w:rFonts w:ascii="Arial" w:eastAsia="Times New Roman" w:hAnsi="Arial" w:cs="Arial"/>
        </w:rPr>
        <w:t xml:space="preserve">: </w:t>
      </w:r>
    </w:p>
    <w:p w14:paraId="6D861901" w14:textId="77777777" w:rsidR="00DB4AE8" w:rsidRPr="00E039B2" w:rsidRDefault="00DB4AE8" w:rsidP="00DB4AE8">
      <w:pPr>
        <w:tabs>
          <w:tab w:val="left" w:pos="1560"/>
        </w:tabs>
        <w:spacing w:after="240" w:line="240" w:lineRule="auto"/>
        <w:ind w:left="2250"/>
        <w:contextualSpacing/>
        <w:jc w:val="both"/>
        <w:rPr>
          <w:rFonts w:ascii="Arial" w:eastAsia="Times New Roman" w:hAnsi="Arial" w:cs="Arial"/>
          <w:b/>
          <w:color w:val="0000FF"/>
        </w:rPr>
      </w:pPr>
    </w:p>
    <w:bookmarkStart w:id="86" w:name="_MON_1586005966"/>
    <w:bookmarkEnd w:id="86"/>
    <w:p w14:paraId="4C7A2563" w14:textId="1B48185B" w:rsidR="00DB4AE8" w:rsidRPr="00E039B2" w:rsidRDefault="00127C4F" w:rsidP="00DB4AE8">
      <w:pPr>
        <w:spacing w:after="240" w:line="240" w:lineRule="auto"/>
        <w:ind w:left="1915"/>
        <w:jc w:val="center"/>
        <w:rPr>
          <w:rFonts w:ascii="Univers (W1)" w:eastAsia="Times New Roman" w:hAnsi="Univers (W1)" w:cs="Times New Roman"/>
          <w:b/>
          <w:color w:val="0000FF"/>
          <w:highlight w:val="yellow"/>
        </w:rPr>
      </w:pPr>
      <w:r w:rsidRPr="00E039B2">
        <w:rPr>
          <w:rFonts w:ascii="Univers (W1)" w:hAnsi="Univers (W1)"/>
        </w:rPr>
        <w:object w:dxaOrig="5043" w:dyaOrig="1966" w14:anchorId="4662F1B0">
          <v:shape id="_x0000_i1049" type="#_x0000_t75" style="width:224.25pt;height:98.25pt" o:ole="">
            <v:imagedata r:id="rId60" o:title=""/>
          </v:shape>
          <o:OLEObject Type="Embed" ProgID="Excel.Sheet.12" ShapeID="_x0000_i1049" DrawAspect="Content" ObjectID="_1661757478" r:id="rId61"/>
        </w:object>
      </w:r>
    </w:p>
    <w:p w14:paraId="04F921B5" w14:textId="6BB21974" w:rsidR="00DB4AE8" w:rsidRPr="00E039B2" w:rsidRDefault="00DB4AE8" w:rsidP="00DB4AE8">
      <w:pPr>
        <w:spacing w:after="240" w:line="240" w:lineRule="auto"/>
        <w:ind w:left="1890" w:right="-18"/>
        <w:contextualSpacing/>
        <w:jc w:val="both"/>
        <w:rPr>
          <w:rFonts w:ascii="Arial" w:eastAsia="Calibri" w:hAnsi="Arial" w:cs="Arial"/>
        </w:rPr>
      </w:pPr>
      <w:r w:rsidRPr="00E039B2">
        <w:rPr>
          <w:rFonts w:ascii="Arial" w:eastAsia="Calibri" w:hAnsi="Arial" w:cs="Arial"/>
        </w:rPr>
        <w:lastRenderedPageBreak/>
        <w:t>TSERS currently use</w:t>
      </w:r>
      <w:r w:rsidR="00127C4F" w:rsidRPr="00E039B2">
        <w:rPr>
          <w:rFonts w:ascii="Arial" w:eastAsia="Calibri" w:hAnsi="Arial" w:cs="Arial"/>
        </w:rPr>
        <w:t>s</w:t>
      </w:r>
      <w:r w:rsidRPr="00E039B2">
        <w:rPr>
          <w:rFonts w:ascii="Arial" w:eastAsia="Calibri" w:hAnsi="Arial" w:cs="Arial"/>
        </w:rPr>
        <w:t xml:space="preserve"> mortality tables that vary by age, gender, employee group (i.e. teacher, general, law enforcement officer)</w:t>
      </w:r>
      <w:r w:rsidR="00127C4F" w:rsidRPr="00E039B2">
        <w:rPr>
          <w:rFonts w:ascii="Arial" w:eastAsia="Calibri" w:hAnsi="Arial" w:cs="Arial"/>
        </w:rPr>
        <w:t>,</w:t>
      </w:r>
      <w:r w:rsidRPr="00E039B2">
        <w:rPr>
          <w:rFonts w:ascii="Arial" w:eastAsia="Calibri" w:hAnsi="Arial" w:cs="Arial"/>
        </w:rPr>
        <w:t xml:space="preserve"> and health status (i.e. disabled and healthy). The current mortality rates are based on published tables and based on studies that cover significant portions of the U.S. population. The mortality rates also contain a provision to reflect future mortality improvements. </w:t>
      </w:r>
    </w:p>
    <w:p w14:paraId="648ECEF4" w14:textId="77777777" w:rsidR="00DB4AE8" w:rsidRPr="00E039B2" w:rsidRDefault="00DB4AE8" w:rsidP="00DB4AE8">
      <w:pPr>
        <w:spacing w:after="240" w:line="240" w:lineRule="auto"/>
        <w:ind w:left="1890" w:right="-18"/>
        <w:contextualSpacing/>
        <w:jc w:val="both"/>
        <w:rPr>
          <w:rFonts w:ascii="Arial" w:eastAsia="Calibri" w:hAnsi="Arial" w:cs="Arial"/>
        </w:rPr>
      </w:pPr>
    </w:p>
    <w:p w14:paraId="55A65B4E" w14:textId="69354BC2" w:rsidR="00DB4AE8" w:rsidRPr="00E039B2" w:rsidRDefault="00DB4AE8" w:rsidP="00DB4AE8">
      <w:pPr>
        <w:spacing w:after="240" w:line="240" w:lineRule="auto"/>
        <w:ind w:left="1890" w:right="-18"/>
        <w:contextualSpacing/>
        <w:jc w:val="both"/>
        <w:rPr>
          <w:rFonts w:ascii="Arial" w:eastAsia="Calibri" w:hAnsi="Arial" w:cs="Arial"/>
        </w:rPr>
      </w:pPr>
      <w:r w:rsidRPr="00E039B2">
        <w:rPr>
          <w:rFonts w:ascii="Arial" w:eastAsia="Calibri" w:hAnsi="Arial" w:cs="Arial"/>
        </w:rPr>
        <w:t>The actuarial assumptions used in the December 31,</w:t>
      </w:r>
      <w:r w:rsidR="003C24F6" w:rsidRPr="003C24F6">
        <w:rPr>
          <w:rFonts w:ascii="Arial" w:eastAsia="Calibri" w:hAnsi="Arial" w:cs="Arial"/>
        </w:rPr>
        <w:t xml:space="preserve"> </w:t>
      </w:r>
      <w:r w:rsidRPr="00E039B2">
        <w:rPr>
          <w:rFonts w:ascii="Arial" w:eastAsia="Calibri" w:hAnsi="Arial" w:cs="Arial"/>
          <w:highlight w:val="yellow"/>
        </w:rPr>
        <w:t>2018</w:t>
      </w:r>
      <w:r w:rsidRPr="00E039B2">
        <w:rPr>
          <w:rFonts w:ascii="Arial" w:eastAsia="Calibri" w:hAnsi="Arial" w:cs="Arial"/>
        </w:rPr>
        <w:t xml:space="preserve"> valuations were based on the results of an actuarial experience review for the period January 1, 2010 through December 31, 2014. </w:t>
      </w:r>
    </w:p>
    <w:p w14:paraId="6A09920E" w14:textId="77777777" w:rsidR="00DB4AE8" w:rsidRPr="00E039B2" w:rsidRDefault="00DB4AE8" w:rsidP="00DB4AE8">
      <w:pPr>
        <w:spacing w:after="240" w:line="240" w:lineRule="auto"/>
        <w:ind w:left="1890" w:right="-18"/>
        <w:contextualSpacing/>
        <w:jc w:val="both"/>
        <w:rPr>
          <w:rFonts w:ascii="Arial" w:eastAsia="Calibri" w:hAnsi="Arial" w:cs="Arial"/>
          <w:highlight w:val="yellow"/>
        </w:rPr>
      </w:pPr>
    </w:p>
    <w:p w14:paraId="0C35114F" w14:textId="636DE259" w:rsidR="00DB4AE8" w:rsidRPr="00E039B2" w:rsidRDefault="00DB4AE8" w:rsidP="00DB4AE8">
      <w:pPr>
        <w:spacing w:after="240" w:line="240" w:lineRule="auto"/>
        <w:ind w:left="1890" w:right="-18"/>
        <w:contextualSpacing/>
        <w:jc w:val="both"/>
        <w:rPr>
          <w:rFonts w:ascii="Arial" w:eastAsia="Calibri" w:hAnsi="Arial" w:cs="Arial"/>
          <w:highlight w:val="yellow"/>
        </w:rPr>
      </w:pPr>
      <w:r w:rsidRPr="00E039B2">
        <w:rPr>
          <w:rFonts w:ascii="Arial" w:eastAsia="Calibri" w:hAnsi="Arial" w:cs="Arial"/>
        </w:rPr>
        <w:t xml:space="preserve">Future ad hoc </w:t>
      </w:r>
      <w:proofErr w:type="spellStart"/>
      <w:r w:rsidRPr="00E039B2">
        <w:rPr>
          <w:rFonts w:ascii="Arial" w:eastAsia="Calibri" w:hAnsi="Arial" w:cs="Arial"/>
          <w:highlight w:val="yellow"/>
        </w:rPr>
        <w:t>c</w:t>
      </w:r>
      <w:r w:rsidRPr="00E039B2">
        <w:rPr>
          <w:rFonts w:ascii="Arial" w:eastAsia="Calibri" w:hAnsi="Arial" w:cs="Arial"/>
        </w:rPr>
        <w:t xml:space="preserve">ost </w:t>
      </w:r>
      <w:proofErr w:type="spellEnd"/>
      <w:r w:rsidRPr="00E039B2">
        <w:rPr>
          <w:rFonts w:ascii="Arial" w:eastAsia="Calibri" w:hAnsi="Arial" w:cs="Arial"/>
        </w:rPr>
        <w:t xml:space="preserve">of </w:t>
      </w:r>
      <w:proofErr w:type="spellStart"/>
      <w:r w:rsidRPr="00E039B2">
        <w:rPr>
          <w:rFonts w:ascii="Arial" w:eastAsia="Calibri" w:hAnsi="Arial" w:cs="Arial"/>
          <w:highlight w:val="yellow"/>
        </w:rPr>
        <w:t>l</w:t>
      </w:r>
      <w:r w:rsidRPr="00E039B2">
        <w:rPr>
          <w:rFonts w:ascii="Arial" w:eastAsia="Calibri" w:hAnsi="Arial" w:cs="Arial"/>
        </w:rPr>
        <w:t xml:space="preserve">iving </w:t>
      </w:r>
      <w:proofErr w:type="spellEnd"/>
      <w:r w:rsidRPr="00E039B2">
        <w:rPr>
          <w:rFonts w:ascii="Arial" w:eastAsia="Calibri" w:hAnsi="Arial" w:cs="Arial"/>
          <w:highlight w:val="yellow"/>
        </w:rPr>
        <w:t>a</w:t>
      </w:r>
      <w:r w:rsidRPr="00E039B2">
        <w:rPr>
          <w:rFonts w:ascii="Arial" w:eastAsia="Calibri" w:hAnsi="Arial" w:cs="Arial"/>
        </w:rPr>
        <w:t xml:space="preserve">djustment amounts </w:t>
      </w:r>
      <w:proofErr w:type="gramStart"/>
      <w:r w:rsidRPr="00E039B2">
        <w:rPr>
          <w:rFonts w:ascii="Arial" w:eastAsia="Calibri" w:hAnsi="Arial" w:cs="Arial"/>
        </w:rPr>
        <w:t>are</w:t>
      </w:r>
      <w:proofErr w:type="gramEnd"/>
      <w:r w:rsidRPr="00E039B2">
        <w:rPr>
          <w:rFonts w:ascii="Arial" w:eastAsia="Calibri" w:hAnsi="Arial" w:cs="Arial"/>
        </w:rPr>
        <w:t xml:space="preserve"> not considered to be substantively automatic and are therefore not included in the measurement. </w:t>
      </w:r>
    </w:p>
    <w:p w14:paraId="6AE5BE97" w14:textId="77777777" w:rsidR="00DB4AE8" w:rsidRPr="00E039B2" w:rsidRDefault="00DB4AE8" w:rsidP="00DB4AE8">
      <w:pPr>
        <w:spacing w:after="240" w:line="240" w:lineRule="auto"/>
        <w:ind w:left="1890"/>
        <w:contextualSpacing/>
        <w:jc w:val="both"/>
        <w:rPr>
          <w:rFonts w:ascii="Arial" w:eastAsia="Calibri" w:hAnsi="Arial" w:cs="Arial"/>
          <w:highlight w:val="yellow"/>
        </w:rPr>
      </w:pPr>
    </w:p>
    <w:p w14:paraId="0ACD9E38" w14:textId="3F670663" w:rsidR="00DB4AE8" w:rsidRPr="00E039B2" w:rsidRDefault="00DB4AE8" w:rsidP="00DB4AE8">
      <w:pPr>
        <w:spacing w:after="240" w:line="240" w:lineRule="auto"/>
        <w:ind w:left="1890"/>
        <w:contextualSpacing/>
        <w:jc w:val="both"/>
        <w:rPr>
          <w:rFonts w:ascii="Arial" w:eastAsia="Calibri" w:hAnsi="Arial" w:cs="Arial"/>
        </w:rPr>
      </w:pPr>
      <w:r w:rsidRPr="00E039B2">
        <w:rPr>
          <w:rFonts w:ascii="Arial" w:eastAsia="Calibri" w:hAnsi="Arial" w:cs="Arial"/>
        </w:rPr>
        <w:t xml:space="preserve">The projected long-term investment returns and inflation assumptions are developed through review of current and historical capital markets data, sell-side investment research, consultant whitepapers, and historical performance of investment strategies. Fixed income </w:t>
      </w:r>
      <w:proofErr w:type="gramStart"/>
      <w:r w:rsidRPr="00E039B2">
        <w:rPr>
          <w:rFonts w:ascii="Arial" w:eastAsia="Calibri" w:hAnsi="Arial" w:cs="Arial"/>
        </w:rPr>
        <w:t>return</w:t>
      </w:r>
      <w:proofErr w:type="gramEnd"/>
      <w:r w:rsidRPr="00E039B2">
        <w:rPr>
          <w:rFonts w:ascii="Arial" w:eastAsia="Calibri" w:hAnsi="Arial" w:cs="Arial"/>
        </w:rPr>
        <w:t xml:space="preserve">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Best estimates of arithmetic real rates of return for each major asset class included in the pension plan’s target asset allocation as of June 30, </w:t>
      </w:r>
      <w:r w:rsidRPr="00E039B2">
        <w:rPr>
          <w:rFonts w:ascii="Arial" w:eastAsia="Calibri" w:hAnsi="Arial" w:cs="Arial"/>
          <w:highlight w:val="yellow"/>
        </w:rPr>
        <w:t>2019</w:t>
      </w:r>
      <w:r w:rsidRPr="00E039B2">
        <w:rPr>
          <w:rFonts w:ascii="Arial" w:eastAsia="Calibri" w:hAnsi="Arial" w:cs="Arial"/>
        </w:rPr>
        <w:t xml:space="preserve"> (the valuation date) are summarized in the following table: </w:t>
      </w:r>
    </w:p>
    <w:p w14:paraId="0D3B8B76" w14:textId="77777777" w:rsidR="00DB4AE8" w:rsidRPr="00E039B2" w:rsidRDefault="00DB4AE8" w:rsidP="00DB4AE8">
      <w:pPr>
        <w:spacing w:after="240" w:line="240" w:lineRule="auto"/>
        <w:ind w:left="1890"/>
        <w:contextualSpacing/>
        <w:jc w:val="both"/>
        <w:rPr>
          <w:rFonts w:ascii="Arial" w:eastAsia="Calibri" w:hAnsi="Arial" w:cs="Arial"/>
        </w:rPr>
      </w:pPr>
    </w:p>
    <w:p w14:paraId="4061DB6D" w14:textId="77777777" w:rsidR="00DB4AE8" w:rsidRPr="00E039B2" w:rsidRDefault="00DB4AE8" w:rsidP="00DB4AE8">
      <w:pPr>
        <w:spacing w:after="240" w:line="240" w:lineRule="auto"/>
        <w:ind w:left="1890"/>
        <w:contextualSpacing/>
        <w:jc w:val="center"/>
        <w:rPr>
          <w:rFonts w:ascii="Arial" w:eastAsia="Calibri" w:hAnsi="Arial" w:cs="Arial"/>
          <w:highlight w:val="yellow"/>
        </w:rPr>
      </w:pPr>
      <w:r w:rsidRPr="00E039B2">
        <w:rPr>
          <w:rFonts w:ascii="Arial" w:hAnsi="Arial" w:cs="Arial"/>
        </w:rPr>
        <w:object w:dxaOrig="4573" w:dyaOrig="2526" w14:anchorId="5CDEC67A">
          <v:shape id="_x0000_i1050" type="#_x0000_t75" style="width:196.5pt;height:122.25pt" o:ole="">
            <v:imagedata r:id="rId62" o:title=""/>
          </v:shape>
          <o:OLEObject Type="Embed" ProgID="Excel.Sheet.12" ShapeID="_x0000_i1050" DrawAspect="Content" ObjectID="_1661757479" r:id="rId63"/>
        </w:object>
      </w:r>
    </w:p>
    <w:p w14:paraId="052BA8DC" w14:textId="77777777" w:rsidR="00DB4AE8" w:rsidRPr="00E039B2" w:rsidRDefault="00DB4AE8" w:rsidP="00DB4AE8">
      <w:pPr>
        <w:spacing w:after="240" w:line="240" w:lineRule="auto"/>
        <w:ind w:left="1980"/>
        <w:contextualSpacing/>
        <w:jc w:val="both"/>
        <w:rPr>
          <w:rFonts w:ascii="Arial" w:eastAsia="Calibri" w:hAnsi="Arial" w:cs="Arial"/>
          <w:highlight w:val="yellow"/>
        </w:rPr>
      </w:pPr>
    </w:p>
    <w:p w14:paraId="76F9C59A" w14:textId="77777777" w:rsidR="00DB4AE8" w:rsidRPr="00E039B2" w:rsidRDefault="00DB4AE8" w:rsidP="00DB4AE8">
      <w:pPr>
        <w:spacing w:before="240" w:after="240" w:line="240" w:lineRule="auto"/>
        <w:ind w:left="1980"/>
        <w:contextualSpacing/>
        <w:jc w:val="center"/>
        <w:rPr>
          <w:rFonts w:ascii="Univers (W1)" w:eastAsia="Times New Roman" w:hAnsi="Univers (W1)" w:cs="Times New Roman"/>
          <w:highlight w:val="yellow"/>
        </w:rPr>
      </w:pPr>
    </w:p>
    <w:p w14:paraId="671EA24C" w14:textId="33F88BF1" w:rsidR="00DB4AE8" w:rsidRPr="00E039B2" w:rsidRDefault="00DB4AE8" w:rsidP="00DB4AE8">
      <w:pPr>
        <w:tabs>
          <w:tab w:val="left" w:pos="1980"/>
        </w:tabs>
        <w:spacing w:before="480" w:after="240" w:line="240" w:lineRule="auto"/>
        <w:ind w:left="1890"/>
        <w:contextualSpacing/>
        <w:jc w:val="both"/>
        <w:rPr>
          <w:rFonts w:ascii="Arial" w:eastAsia="Calibri" w:hAnsi="Arial" w:cs="Arial"/>
          <w:highlight w:val="yellow"/>
        </w:rPr>
      </w:pPr>
      <w:r w:rsidRPr="00E039B2">
        <w:rPr>
          <w:rFonts w:ascii="Arial" w:eastAsia="Calibri" w:hAnsi="Arial" w:cs="Arial"/>
        </w:rPr>
        <w:t xml:space="preserve">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w:t>
      </w:r>
      <w:r w:rsidRPr="00E039B2">
        <w:rPr>
          <w:rFonts w:ascii="Arial" w:eastAsia="Calibri" w:hAnsi="Arial" w:cs="Arial"/>
        </w:rPr>
        <w:lastRenderedPageBreak/>
        <w:t xml:space="preserve">over benchmark averages. All rates of return and inflation are annualized. The long-term expected </w:t>
      </w:r>
      <w:r w:rsidR="00127C4F" w:rsidRPr="00E039B2">
        <w:rPr>
          <w:rFonts w:ascii="Arial" w:eastAsia="Calibri" w:hAnsi="Arial" w:cs="Arial"/>
        </w:rPr>
        <w:t xml:space="preserve">real </w:t>
      </w:r>
      <w:r w:rsidRPr="00E039B2">
        <w:rPr>
          <w:rFonts w:ascii="Arial" w:eastAsia="Calibri" w:hAnsi="Arial" w:cs="Arial"/>
        </w:rPr>
        <w:t xml:space="preserve">rate of return for the Bond Index Investment Pool as of June 30, </w:t>
      </w:r>
      <w:r w:rsidRPr="00E039B2">
        <w:rPr>
          <w:rFonts w:ascii="Arial" w:eastAsia="Calibri" w:hAnsi="Arial" w:cs="Arial"/>
          <w:highlight w:val="yellow"/>
        </w:rPr>
        <w:t xml:space="preserve">2019 </w:t>
      </w:r>
      <w:r w:rsidRPr="00E039B2">
        <w:rPr>
          <w:rFonts w:ascii="Arial" w:eastAsia="Calibri" w:hAnsi="Arial" w:cs="Arial"/>
        </w:rPr>
        <w:t>is 1.</w:t>
      </w:r>
      <w:r w:rsidRPr="00E039B2">
        <w:rPr>
          <w:rFonts w:ascii="Arial" w:eastAsia="Calibri" w:hAnsi="Arial" w:cs="Arial"/>
          <w:highlight w:val="yellow"/>
        </w:rPr>
        <w:t>4</w:t>
      </w:r>
      <w:r w:rsidRPr="00E039B2">
        <w:rPr>
          <w:rFonts w:ascii="Arial" w:eastAsia="Calibri" w:hAnsi="Arial" w:cs="Arial"/>
        </w:rPr>
        <w:t xml:space="preserve">%. </w:t>
      </w:r>
    </w:p>
    <w:p w14:paraId="1D453978" w14:textId="77777777" w:rsidR="00DB4AE8" w:rsidRPr="00E039B2" w:rsidRDefault="00DB4AE8" w:rsidP="00DB4AE8">
      <w:pPr>
        <w:spacing w:after="240" w:line="240" w:lineRule="auto"/>
        <w:ind w:left="1890"/>
        <w:contextualSpacing/>
        <w:jc w:val="both"/>
        <w:rPr>
          <w:rFonts w:ascii="Arial" w:eastAsia="Calibri" w:hAnsi="Arial" w:cs="Arial"/>
          <w:i/>
        </w:rPr>
      </w:pPr>
    </w:p>
    <w:p w14:paraId="03BA6DBD" w14:textId="22843257" w:rsidR="00DB4AE8" w:rsidRPr="00E039B2" w:rsidRDefault="00DB4AE8" w:rsidP="00DB4AE8">
      <w:pPr>
        <w:spacing w:after="240" w:line="240" w:lineRule="auto"/>
        <w:ind w:left="1890"/>
        <w:contextualSpacing/>
        <w:jc w:val="both"/>
        <w:rPr>
          <w:rFonts w:ascii="Arial" w:eastAsia="Calibri" w:hAnsi="Arial" w:cs="Arial"/>
        </w:rPr>
      </w:pPr>
      <w:r w:rsidRPr="00E039B2">
        <w:rPr>
          <w:rFonts w:ascii="Arial" w:eastAsia="Calibri" w:hAnsi="Arial" w:cs="Arial"/>
          <w:i/>
        </w:rPr>
        <w:t>Discount Rate:</w:t>
      </w:r>
      <w:r w:rsidRPr="00E039B2">
        <w:rPr>
          <w:rFonts w:ascii="Arial" w:eastAsia="Calibri" w:hAnsi="Arial" w:cs="Arial"/>
        </w:rPr>
        <w:t xml:space="preserve"> The discount rate used to measure the total pension liability was 7.00% for the December 31, </w:t>
      </w:r>
      <w:r w:rsidRPr="00E039B2">
        <w:rPr>
          <w:rFonts w:ascii="Arial" w:eastAsia="Calibri" w:hAnsi="Arial" w:cs="Arial"/>
          <w:highlight w:val="yellow"/>
        </w:rPr>
        <w:t>2018</w:t>
      </w:r>
      <w:r w:rsidRPr="00E039B2">
        <w:rPr>
          <w:rFonts w:ascii="Arial" w:eastAsia="Calibri" w:hAnsi="Arial" w:cs="Arial"/>
        </w:rPr>
        <w:t xml:space="preserve"> valuation. The discount rate is in line with the long-term nominal expected return on pension plan investments. 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2210A788" w14:textId="77777777" w:rsidR="00DB4AE8" w:rsidRPr="00E039B2" w:rsidRDefault="00DB4AE8" w:rsidP="00DB4AE8">
      <w:pPr>
        <w:spacing w:after="240" w:line="240" w:lineRule="auto"/>
        <w:ind w:left="1890"/>
        <w:contextualSpacing/>
        <w:jc w:val="both"/>
        <w:rPr>
          <w:rFonts w:ascii="Arial" w:eastAsia="Calibri" w:hAnsi="Arial" w:cs="Arial"/>
          <w:i/>
        </w:rPr>
      </w:pPr>
    </w:p>
    <w:p w14:paraId="73F7C4E6" w14:textId="3D188381" w:rsidR="00DB4AE8" w:rsidRPr="00E039B2" w:rsidRDefault="00DB4AE8" w:rsidP="00DB4AE8">
      <w:pPr>
        <w:spacing w:after="240" w:line="240" w:lineRule="auto"/>
        <w:ind w:left="1890"/>
        <w:contextualSpacing/>
        <w:jc w:val="both"/>
        <w:rPr>
          <w:rFonts w:ascii="Arial" w:eastAsia="Calibri" w:hAnsi="Arial" w:cs="Arial"/>
        </w:rPr>
      </w:pPr>
      <w:r w:rsidRPr="00E039B2">
        <w:rPr>
          <w:rFonts w:ascii="Arial" w:eastAsia="Calibri" w:hAnsi="Arial" w:cs="Arial"/>
          <w:i/>
        </w:rPr>
        <w:t xml:space="preserve">Sensitivity of the Net Pension Liability to Changes in the Discount Rate: </w:t>
      </w:r>
      <w:r w:rsidRPr="00E039B2">
        <w:rPr>
          <w:rFonts w:ascii="Arial" w:eastAsia="Calibri" w:hAnsi="Arial" w:cs="Arial"/>
        </w:rPr>
        <w:t xml:space="preserve">The following presents the net pension liability of the plan at June 30, </w:t>
      </w:r>
      <w:r w:rsidRPr="00E039B2">
        <w:rPr>
          <w:rFonts w:ascii="Arial" w:eastAsia="Calibri" w:hAnsi="Arial" w:cs="Arial"/>
          <w:highlight w:val="yellow"/>
        </w:rPr>
        <w:t>2019</w:t>
      </w:r>
      <w:r w:rsidRPr="00E039B2">
        <w:rPr>
          <w:rFonts w:ascii="Arial" w:eastAsia="Calibri" w:hAnsi="Arial" w:cs="Arial"/>
        </w:rPr>
        <w:t xml:space="preserve"> calculated using the discount rate of 7.00%, as well as what the net pension liability would be if it were calculated using a discount rate that is 1-percentage point lower (6.00%) or 1-percentage point higher (8.00%) than the current rate:</w:t>
      </w:r>
    </w:p>
    <w:p w14:paraId="0349AA1D" w14:textId="77777777" w:rsidR="00DB4AE8" w:rsidRPr="00E039B2" w:rsidRDefault="00DB4AE8" w:rsidP="00DB4AE8">
      <w:pPr>
        <w:spacing w:after="240" w:line="240" w:lineRule="auto"/>
        <w:ind w:left="1890"/>
        <w:contextualSpacing/>
        <w:jc w:val="both"/>
        <w:rPr>
          <w:rFonts w:ascii="Arial" w:eastAsia="Calibri" w:hAnsi="Arial" w:cs="Arial"/>
        </w:rPr>
      </w:pPr>
    </w:p>
    <w:bookmarkStart w:id="87" w:name="_MON_1585980886"/>
    <w:bookmarkEnd w:id="87"/>
    <w:p w14:paraId="3C0FC612" w14:textId="1B5400C4" w:rsidR="00DB4AE8" w:rsidRPr="00E039B2" w:rsidRDefault="004A0566" w:rsidP="004A0566">
      <w:pPr>
        <w:spacing w:line="240" w:lineRule="auto"/>
        <w:ind w:left="1440" w:firstLine="432"/>
        <w:rPr>
          <w:rFonts w:ascii="Arial" w:eastAsia="Calibri" w:hAnsi="Arial" w:cs="Arial"/>
        </w:rPr>
      </w:pPr>
      <w:r w:rsidRPr="00E039B2">
        <w:rPr>
          <w:rFonts w:ascii="Arial" w:eastAsia="Calibri" w:hAnsi="Arial" w:cs="Arial"/>
        </w:rPr>
        <w:object w:dxaOrig="9896" w:dyaOrig="2795" w14:anchorId="6971127B">
          <v:shape id="_x0000_i1051" type="#_x0000_t75" style="width:361.5pt;height:125.25pt" o:ole="">
            <v:imagedata r:id="rId64" o:title=""/>
          </v:shape>
          <o:OLEObject Type="Embed" ProgID="Excel.Sheet.12" ShapeID="_x0000_i1051" DrawAspect="Content" ObjectID="_1661757480" r:id="rId65"/>
        </w:object>
      </w:r>
    </w:p>
    <w:p w14:paraId="442E6879" w14:textId="77777777" w:rsidR="00DB4AE8" w:rsidRPr="00E039B2" w:rsidRDefault="00DB4AE8" w:rsidP="00DB4AE8">
      <w:pPr>
        <w:spacing w:line="240" w:lineRule="auto"/>
        <w:ind w:left="720" w:firstLine="432"/>
        <w:jc w:val="center"/>
        <w:rPr>
          <w:rFonts w:ascii="Arial" w:eastAsia="Calibri" w:hAnsi="Arial" w:cs="Arial"/>
        </w:rPr>
      </w:pPr>
      <w:r w:rsidRPr="00E039B2">
        <w:rPr>
          <w:rFonts w:ascii="Arial" w:eastAsia="Calibri" w:hAnsi="Arial" w:cs="Arial"/>
          <w:b/>
          <w:color w:val="0000FF"/>
        </w:rPr>
        <w:t>[Modify as necessary]</w:t>
      </w:r>
    </w:p>
    <w:p w14:paraId="436AC2D2" w14:textId="0B8C48BF" w:rsidR="00DB4AE8" w:rsidRPr="00E039B2" w:rsidRDefault="00DB4AE8" w:rsidP="00DB4AE8">
      <w:pPr>
        <w:spacing w:after="240" w:line="240" w:lineRule="auto"/>
        <w:ind w:left="1890"/>
        <w:jc w:val="both"/>
        <w:rPr>
          <w:rFonts w:ascii="Arial" w:eastAsia="Calibri" w:hAnsi="Arial" w:cs="Arial"/>
        </w:rPr>
      </w:pPr>
      <w:r w:rsidRPr="00E039B2">
        <w:rPr>
          <w:rFonts w:ascii="Arial" w:eastAsia="Calibri" w:hAnsi="Arial" w:cs="Arial"/>
          <w:i/>
        </w:rPr>
        <w:t xml:space="preserve">Deferred Outflows of Resources and Deferred Inflows of Resources Related to Pensions: </w:t>
      </w:r>
      <w:r w:rsidRPr="00E039B2">
        <w:rPr>
          <w:rFonts w:ascii="Arial" w:eastAsia="Calibri" w:hAnsi="Arial" w:cs="Arial"/>
        </w:rPr>
        <w:t xml:space="preserve">For the year ended June 30, </w:t>
      </w:r>
      <w:r w:rsidRPr="00E039B2">
        <w:rPr>
          <w:rFonts w:ascii="Arial" w:eastAsia="Calibri" w:hAnsi="Arial" w:cs="Arial"/>
          <w:highlight w:val="yellow"/>
        </w:rPr>
        <w:t>2020</w:t>
      </w:r>
      <w:r w:rsidRPr="00E039B2">
        <w:rPr>
          <w:rFonts w:ascii="Arial" w:eastAsia="Calibri" w:hAnsi="Arial" w:cs="Arial"/>
        </w:rPr>
        <w:t xml:space="preserve">, the Department’s proportionate share of the collective pension expense was $_______. Of this amount the </w:t>
      </w:r>
      <w:r w:rsidRPr="00E039B2">
        <w:rPr>
          <w:rFonts w:ascii="Arial" w:eastAsia="Calibri" w:hAnsi="Arial" w:cs="Arial"/>
          <w:color w:val="0000FF"/>
        </w:rPr>
        <w:t xml:space="preserve">component unit/proprietary funds </w:t>
      </w:r>
      <w:r w:rsidRPr="00E039B2">
        <w:rPr>
          <w:rFonts w:ascii="Arial" w:eastAsia="Calibri" w:hAnsi="Arial" w:cs="Arial"/>
        </w:rPr>
        <w:t xml:space="preserve">recognized $_______. </w:t>
      </w:r>
      <w:r w:rsidRPr="00E039B2">
        <w:rPr>
          <w:rFonts w:ascii="Arial" w:eastAsia="Calibri" w:hAnsi="Arial" w:cs="Arial"/>
          <w:b/>
          <w:i/>
          <w:color w:val="0000FF"/>
        </w:rPr>
        <w:t>[Remove if not applicable.]</w:t>
      </w:r>
      <w:r w:rsidRPr="00E039B2">
        <w:rPr>
          <w:rFonts w:ascii="Arial" w:eastAsia="Calibri" w:hAnsi="Arial" w:cs="Arial"/>
        </w:rPr>
        <w:t xml:space="preserve"> At June 30, </w:t>
      </w:r>
      <w:r w:rsidRPr="00E039B2">
        <w:rPr>
          <w:rFonts w:ascii="Arial" w:eastAsia="Calibri" w:hAnsi="Arial" w:cs="Arial"/>
          <w:highlight w:val="yellow"/>
        </w:rPr>
        <w:t>2020</w:t>
      </w:r>
      <w:r w:rsidRPr="00E039B2">
        <w:rPr>
          <w:rFonts w:ascii="Arial" w:eastAsia="Calibri" w:hAnsi="Arial" w:cs="Arial"/>
        </w:rPr>
        <w:t xml:space="preserve">, the Department’s proportionate share of deferred outflows of resources and deferred inflows of resources related to pensions were from the following sources: </w:t>
      </w:r>
    </w:p>
    <w:bookmarkStart w:id="88" w:name="_MON_1581763156"/>
    <w:bookmarkEnd w:id="88"/>
    <w:p w14:paraId="0ED68378" w14:textId="45D06269" w:rsidR="00DB4AE8" w:rsidRPr="00E039B2" w:rsidRDefault="003C24F6" w:rsidP="004A0566">
      <w:pPr>
        <w:spacing w:after="240" w:line="240" w:lineRule="auto"/>
        <w:ind w:left="1152"/>
        <w:jc w:val="both"/>
        <w:rPr>
          <w:rFonts w:ascii="Arial" w:eastAsia="Calibri" w:hAnsi="Arial" w:cs="Arial"/>
          <w:b/>
          <w:color w:val="0000FF"/>
        </w:rPr>
      </w:pPr>
      <w:r w:rsidRPr="00E039B2">
        <w:rPr>
          <w:rFonts w:ascii="Calibri" w:eastAsia="Calibri" w:hAnsi="Calibri"/>
        </w:rPr>
        <w:object w:dxaOrig="11358" w:dyaOrig="7330" w14:anchorId="31DEE28F">
          <v:shape id="_x0000_i1075" type="#_x0000_t75" style="width:423.75pt;height:303.75pt" o:ole="">
            <v:imagedata r:id="rId66" o:title=""/>
          </v:shape>
          <o:OLEObject Type="Embed" ProgID="Excel.Sheet.12" ShapeID="_x0000_i1075" DrawAspect="Content" ObjectID="_1661757481" r:id="rId67"/>
        </w:object>
      </w:r>
      <w:bookmarkStart w:id="89" w:name="_MON_1654683009"/>
      <w:bookmarkEnd w:id="89"/>
    </w:p>
    <w:p w14:paraId="567E5BF3" w14:textId="77777777" w:rsidR="00DB4AE8" w:rsidRPr="00E039B2" w:rsidRDefault="00DB4AE8" w:rsidP="00DB4AE8">
      <w:pPr>
        <w:spacing w:line="240" w:lineRule="auto"/>
        <w:ind w:left="720" w:firstLine="432"/>
        <w:jc w:val="center"/>
        <w:rPr>
          <w:rFonts w:ascii="Arial" w:eastAsia="Calibri" w:hAnsi="Arial" w:cs="Arial"/>
        </w:rPr>
      </w:pPr>
      <w:r w:rsidRPr="00E039B2">
        <w:rPr>
          <w:rFonts w:ascii="Arial" w:eastAsia="Calibri" w:hAnsi="Arial" w:cs="Arial"/>
          <w:b/>
          <w:color w:val="0000FF"/>
        </w:rPr>
        <w:t>[Modify as necessary]</w:t>
      </w:r>
    </w:p>
    <w:p w14:paraId="489A4C73" w14:textId="419F4797" w:rsidR="00DB4AE8" w:rsidRPr="00E039B2" w:rsidRDefault="00DB4AE8" w:rsidP="00DB4AE8">
      <w:pPr>
        <w:spacing w:after="240" w:line="240" w:lineRule="auto"/>
        <w:ind w:left="1890" w:hanging="720"/>
        <w:jc w:val="both"/>
        <w:rPr>
          <w:rFonts w:ascii="Arial" w:eastAsia="Calibri" w:hAnsi="Arial" w:cs="Arial"/>
          <w:b/>
          <w:color w:val="0000FF"/>
        </w:rPr>
      </w:pPr>
      <w:r w:rsidRPr="00E039B2">
        <w:rPr>
          <w:rFonts w:ascii="Arial" w:eastAsia="Calibri" w:hAnsi="Arial" w:cs="Arial"/>
        </w:rPr>
        <w:tab/>
        <w:t>The amount</w:t>
      </w:r>
      <w:r w:rsidRPr="00E039B2">
        <w:rPr>
          <w:rFonts w:ascii="Arial" w:eastAsia="Calibri" w:hAnsi="Arial" w:cs="Arial"/>
          <w:color w:val="0000FF"/>
        </w:rPr>
        <w:t xml:space="preserve">(s) </w:t>
      </w:r>
      <w:r w:rsidRPr="00E039B2">
        <w:rPr>
          <w:rFonts w:ascii="Arial" w:eastAsia="Calibri" w:hAnsi="Arial" w:cs="Arial"/>
        </w:rPr>
        <w:t xml:space="preserve">of $_______ and $________ </w:t>
      </w:r>
      <w:r w:rsidRPr="00E039B2">
        <w:rPr>
          <w:rFonts w:ascii="Arial" w:eastAsia="Calibri" w:hAnsi="Arial" w:cs="Arial"/>
          <w:b/>
          <w:i/>
          <w:color w:val="0000FF"/>
        </w:rPr>
        <w:t>[Only one amount if no proprietary funds]</w:t>
      </w:r>
      <w:r w:rsidRPr="00E039B2">
        <w:rPr>
          <w:rFonts w:ascii="Arial" w:eastAsia="Calibri" w:hAnsi="Arial" w:cs="Arial"/>
        </w:rPr>
        <w:t xml:space="preserve"> reported as deferred outflows of resources related to contributions subsequent to the measurement date will be included as a reduction of the net pension liability in the fiscal year ended June 30, </w:t>
      </w:r>
      <w:r w:rsidRPr="00E039B2">
        <w:rPr>
          <w:rFonts w:ascii="Arial" w:eastAsia="Calibri" w:hAnsi="Arial" w:cs="Arial"/>
          <w:highlight w:val="yellow"/>
        </w:rPr>
        <w:t>2021</w:t>
      </w:r>
      <w:r w:rsidRPr="00E039B2">
        <w:rPr>
          <w:rFonts w:ascii="Arial" w:eastAsia="Calibri" w:hAnsi="Arial" w:cs="Arial"/>
        </w:rPr>
        <w:t>. Other amounts reported as deferred outflows of resources and deferred inflows of resources related to pensions will be recognized as pension expense as follows:</w:t>
      </w:r>
      <w:r w:rsidRPr="00E039B2">
        <w:rPr>
          <w:rFonts w:ascii="Arial" w:eastAsia="Calibri" w:hAnsi="Arial" w:cs="Arial"/>
          <w:b/>
          <w:color w:val="0000FF"/>
        </w:rPr>
        <w:t xml:space="preserve"> </w:t>
      </w:r>
      <w:r w:rsidRPr="00E039B2">
        <w:rPr>
          <w:rFonts w:ascii="Arial" w:hAnsi="Arial" w:cs="Arial"/>
          <w:b/>
          <w:i/>
          <w:color w:val="0000FF"/>
        </w:rPr>
        <w:t>[Note to preparer: The amount(s) in the paragraph is referenced in Box 3 of the ‘Disclosures tab’ in the OSC GASB 68 template provided to you.]</w:t>
      </w:r>
    </w:p>
    <w:bookmarkStart w:id="90" w:name="_MON_1560275034"/>
    <w:bookmarkEnd w:id="90"/>
    <w:bookmarkStart w:id="91" w:name="_MON_1553329072"/>
    <w:bookmarkEnd w:id="91"/>
    <w:p w14:paraId="6273A314" w14:textId="77777777" w:rsidR="00DB4AE8" w:rsidRPr="00E039B2" w:rsidRDefault="00DB4AE8" w:rsidP="00DB4AE8">
      <w:pPr>
        <w:spacing w:line="240" w:lineRule="auto"/>
        <w:ind w:left="1800"/>
        <w:jc w:val="center"/>
        <w:rPr>
          <w:rFonts w:ascii="Univers (W1)" w:eastAsia="Times New Roman" w:hAnsi="Univers (W1)" w:cs="Times New Roman"/>
        </w:rPr>
      </w:pPr>
      <w:r w:rsidRPr="00E039B2">
        <w:object w:dxaOrig="6497" w:dyaOrig="5037" w14:anchorId="4EA654AD">
          <v:shape id="_x0000_i1053" type="#_x0000_t75" style="width:323.25pt;height:252pt" o:ole="">
            <v:imagedata r:id="rId68" o:title=""/>
          </v:shape>
          <o:OLEObject Type="Embed" ProgID="Excel.Sheet.8" ShapeID="_x0000_i1053" DrawAspect="Content" ObjectID="_1661757482" r:id="rId69"/>
        </w:object>
      </w:r>
    </w:p>
    <w:p w14:paraId="0944252A" w14:textId="77777777" w:rsidR="00DB4AE8" w:rsidRPr="00E039B2" w:rsidRDefault="00DB4AE8" w:rsidP="00DB4AE8">
      <w:pPr>
        <w:spacing w:line="240" w:lineRule="auto"/>
        <w:ind w:left="720" w:firstLine="432"/>
        <w:jc w:val="center"/>
        <w:rPr>
          <w:rFonts w:ascii="Arial" w:eastAsia="Calibri" w:hAnsi="Arial" w:cs="Arial"/>
        </w:rPr>
      </w:pPr>
      <w:r w:rsidRPr="00E039B2">
        <w:rPr>
          <w:rFonts w:ascii="Arial" w:eastAsia="Calibri" w:hAnsi="Arial" w:cs="Arial"/>
          <w:b/>
          <w:color w:val="0000FF"/>
        </w:rPr>
        <w:t>[Modify as necessary]</w:t>
      </w:r>
    </w:p>
    <w:p w14:paraId="16526925" w14:textId="77777777" w:rsidR="00DB4AE8" w:rsidRPr="00E039B2" w:rsidRDefault="00DB4AE8" w:rsidP="00DB4AE8">
      <w:pPr>
        <w:numPr>
          <w:ilvl w:val="0"/>
          <w:numId w:val="33"/>
        </w:numPr>
        <w:spacing w:after="0" w:line="240" w:lineRule="auto"/>
        <w:contextualSpacing/>
        <w:jc w:val="both"/>
        <w:rPr>
          <w:rFonts w:ascii="Arial" w:eastAsia="Calibri" w:hAnsi="Arial" w:cs="Arial"/>
          <w:b/>
        </w:rPr>
      </w:pPr>
      <w:r w:rsidRPr="00E039B2">
        <w:rPr>
          <w:rFonts w:ascii="Arial" w:eastAsia="Calibri" w:hAnsi="Arial" w:cs="Arial"/>
          <w:b/>
        </w:rPr>
        <w:t xml:space="preserve">Single-Employer, Defined Benefit Plan </w:t>
      </w:r>
    </w:p>
    <w:p w14:paraId="72985C59" w14:textId="77777777" w:rsidR="00DB4AE8" w:rsidRPr="00E039B2" w:rsidRDefault="00DB4AE8" w:rsidP="00DB4AE8">
      <w:pPr>
        <w:spacing w:after="0" w:line="240" w:lineRule="auto"/>
        <w:ind w:left="1890"/>
        <w:contextualSpacing/>
        <w:jc w:val="both"/>
        <w:rPr>
          <w:rFonts w:ascii="Arial" w:eastAsia="Calibri" w:hAnsi="Arial" w:cs="Arial"/>
          <w:b/>
        </w:rPr>
      </w:pPr>
    </w:p>
    <w:p w14:paraId="5A1BAD1B" w14:textId="77777777" w:rsidR="00DB4AE8" w:rsidRPr="00E039B2" w:rsidRDefault="00DB4AE8" w:rsidP="00DB4AE8">
      <w:pPr>
        <w:numPr>
          <w:ilvl w:val="0"/>
          <w:numId w:val="34"/>
        </w:numPr>
        <w:spacing w:after="0" w:line="240" w:lineRule="auto"/>
        <w:contextualSpacing/>
        <w:jc w:val="both"/>
        <w:rPr>
          <w:rFonts w:ascii="Arial" w:eastAsia="Times New Roman" w:hAnsi="Arial" w:cs="Arial"/>
          <w:b/>
          <w:color w:val="0000FF"/>
        </w:rPr>
      </w:pPr>
      <w:r w:rsidRPr="00E039B2">
        <w:rPr>
          <w:rFonts w:ascii="Arial" w:eastAsia="Times New Roman" w:hAnsi="Arial" w:cs="Arial"/>
          <w:b/>
          <w:color w:val="0000FF"/>
        </w:rPr>
        <w:t xml:space="preserve">[Plan 1] </w:t>
      </w:r>
    </w:p>
    <w:p w14:paraId="72CCB880" w14:textId="77777777" w:rsidR="00DB4AE8" w:rsidRPr="00E039B2" w:rsidRDefault="00DB4AE8" w:rsidP="00DB4AE8">
      <w:pPr>
        <w:spacing w:after="0" w:line="240" w:lineRule="auto"/>
        <w:ind w:left="2275"/>
        <w:contextualSpacing/>
        <w:jc w:val="both"/>
        <w:rPr>
          <w:rFonts w:ascii="Arial" w:eastAsia="Times New Roman" w:hAnsi="Arial" w:cs="Arial"/>
        </w:rPr>
      </w:pPr>
    </w:p>
    <w:p w14:paraId="32CF0295" w14:textId="77777777" w:rsidR="00DB4AE8" w:rsidRPr="00E039B2" w:rsidRDefault="00DB4AE8" w:rsidP="00DB4AE8">
      <w:pPr>
        <w:spacing w:after="0" w:line="240" w:lineRule="auto"/>
        <w:ind w:left="2275"/>
        <w:contextualSpacing/>
        <w:jc w:val="both"/>
        <w:rPr>
          <w:rFonts w:ascii="Arial" w:eastAsia="Times New Roman" w:hAnsi="Arial" w:cs="Arial"/>
          <w:b/>
          <w:color w:val="0000FF"/>
        </w:rPr>
      </w:pPr>
      <w:r w:rsidRPr="00E039B2">
        <w:rPr>
          <w:rFonts w:ascii="Arial" w:eastAsia="Times New Roman" w:hAnsi="Arial" w:cs="Arial"/>
          <w:b/>
          <w:color w:val="0000FF"/>
        </w:rPr>
        <w:t>[Add/update as necessary. Examples include Special Separation Allowance and NC National Guard Pension Fund for DPS]</w:t>
      </w:r>
    </w:p>
    <w:p w14:paraId="4AA2E02D" w14:textId="77777777" w:rsidR="00DB4AE8" w:rsidRPr="00E039B2" w:rsidRDefault="00DB4AE8" w:rsidP="00DB4AE8">
      <w:pPr>
        <w:spacing w:after="0" w:line="240" w:lineRule="auto"/>
        <w:ind w:left="2275"/>
        <w:contextualSpacing/>
        <w:jc w:val="both"/>
        <w:rPr>
          <w:rFonts w:ascii="Arial" w:eastAsia="Times New Roman" w:hAnsi="Arial" w:cs="Arial"/>
          <w:b/>
          <w:color w:val="0000FF"/>
        </w:rPr>
      </w:pPr>
    </w:p>
    <w:p w14:paraId="657EF437" w14:textId="77777777" w:rsidR="00DB4AE8" w:rsidRPr="00E039B2" w:rsidRDefault="00DB4AE8" w:rsidP="00DB4AE8">
      <w:pPr>
        <w:spacing w:after="0" w:line="240" w:lineRule="auto"/>
        <w:ind w:left="2275"/>
        <w:contextualSpacing/>
        <w:jc w:val="both"/>
        <w:rPr>
          <w:rFonts w:ascii="Arial" w:eastAsia="Times New Roman" w:hAnsi="Arial" w:cs="Arial"/>
          <w:b/>
        </w:rPr>
      </w:pPr>
    </w:p>
    <w:p w14:paraId="526BC1F6" w14:textId="77777777" w:rsidR="00DB4AE8" w:rsidRPr="00E039B2" w:rsidRDefault="00DB4AE8" w:rsidP="00DB4AE8">
      <w:pPr>
        <w:numPr>
          <w:ilvl w:val="0"/>
          <w:numId w:val="33"/>
        </w:numPr>
        <w:spacing w:after="0" w:line="240" w:lineRule="auto"/>
        <w:contextualSpacing/>
        <w:jc w:val="both"/>
        <w:rPr>
          <w:rFonts w:ascii="Arial" w:eastAsia="Calibri" w:hAnsi="Arial" w:cs="Arial"/>
          <w:b/>
        </w:rPr>
      </w:pPr>
      <w:r w:rsidRPr="00E039B2">
        <w:rPr>
          <w:rFonts w:ascii="Arial" w:eastAsia="Calibri" w:hAnsi="Arial" w:cs="Arial"/>
          <w:b/>
        </w:rPr>
        <w:t xml:space="preserve">  Defined Contribution Plan </w:t>
      </w:r>
    </w:p>
    <w:p w14:paraId="0AFCEE5C" w14:textId="77777777" w:rsidR="00DB4AE8" w:rsidRPr="00E039B2" w:rsidRDefault="00DB4AE8" w:rsidP="00DB4AE8">
      <w:pPr>
        <w:spacing w:line="240" w:lineRule="auto"/>
        <w:ind w:left="1920"/>
        <w:contextualSpacing/>
        <w:jc w:val="both"/>
        <w:rPr>
          <w:rFonts w:ascii="Arial" w:eastAsia="Calibri" w:hAnsi="Arial" w:cs="Arial"/>
        </w:rPr>
      </w:pPr>
    </w:p>
    <w:p w14:paraId="2450F9CB" w14:textId="51C89769" w:rsidR="00DB4AE8" w:rsidRPr="00E039B2" w:rsidRDefault="00DB4AE8" w:rsidP="00DB4AE8">
      <w:pPr>
        <w:spacing w:after="0" w:line="240" w:lineRule="auto"/>
        <w:ind w:left="1920"/>
        <w:contextualSpacing/>
        <w:jc w:val="both"/>
        <w:rPr>
          <w:rFonts w:ascii="Arial" w:eastAsia="Calibri" w:hAnsi="Arial" w:cs="Arial"/>
        </w:rPr>
      </w:pPr>
      <w:r w:rsidRPr="00E039B2">
        <w:rPr>
          <w:rFonts w:ascii="Arial" w:eastAsia="Calibri" w:hAnsi="Arial" w:cs="Arial"/>
        </w:rPr>
        <w:t xml:space="preserve">Internal Revenue Code Section 401(k) Plan - All members of the Teachers’ and State Employees’ Retirement System are eligible to enroll in the Supplemental Retirement Income Plan, a defined contribution plan, created under Internal Revenue Code Section 401(k). All costs of administering the Plan are the responsibility of the Plan participants. No costs are incurred by the Department except for a 5% employer contribution for the Department’s law enforcement officers, which is mandated under General Statute 143-166.30(e). Total employer contributions on behalf of Department law enforcement officers for the year ended June 30, </w:t>
      </w:r>
      <w:r w:rsidRPr="00E039B2">
        <w:rPr>
          <w:rFonts w:ascii="Arial" w:eastAsia="Calibri" w:hAnsi="Arial" w:cs="Arial"/>
          <w:highlight w:val="yellow"/>
        </w:rPr>
        <w:t>2020</w:t>
      </w:r>
      <w:r w:rsidRPr="00E039B2">
        <w:rPr>
          <w:rFonts w:ascii="Arial" w:eastAsia="Calibri" w:hAnsi="Arial" w:cs="Arial"/>
        </w:rPr>
        <w:t>, were $________.</w:t>
      </w:r>
      <w:bookmarkStart w:id="92" w:name="_MON_1553328692"/>
      <w:bookmarkStart w:id="93" w:name="_MON_1592125913"/>
      <w:bookmarkEnd w:id="92"/>
      <w:bookmarkEnd w:id="93"/>
    </w:p>
    <w:p w14:paraId="518BA754" w14:textId="77777777" w:rsidR="00DB4AE8" w:rsidRPr="00E039B2" w:rsidRDefault="00DB4AE8" w:rsidP="00DB4AE8">
      <w:pPr>
        <w:spacing w:after="0" w:line="240" w:lineRule="auto"/>
        <w:ind w:left="1920"/>
        <w:contextualSpacing/>
        <w:jc w:val="both"/>
        <w:rPr>
          <w:rFonts w:ascii="Arial" w:eastAsia="Calibri" w:hAnsi="Arial" w:cs="Arial"/>
        </w:rPr>
      </w:pPr>
    </w:p>
    <w:p w14:paraId="759F1F66" w14:textId="77777777" w:rsidR="00DB4AE8" w:rsidRPr="00E039B2" w:rsidRDefault="00DB4AE8" w:rsidP="00DB4AE8">
      <w:pPr>
        <w:spacing w:line="240" w:lineRule="auto"/>
        <w:ind w:left="1890"/>
        <w:jc w:val="both"/>
        <w:rPr>
          <w:rFonts w:ascii="Arial" w:eastAsia="Calibri" w:hAnsi="Arial" w:cs="Arial"/>
          <w:b/>
          <w:i/>
          <w:color w:val="0000FF"/>
        </w:rPr>
      </w:pPr>
      <w:r w:rsidRPr="00E039B2">
        <w:rPr>
          <w:rFonts w:ascii="Arial" w:eastAsia="Calibri" w:hAnsi="Arial" w:cs="Arial"/>
          <w:b/>
          <w:i/>
          <w:color w:val="0000FF"/>
          <w:highlight w:val="yellow"/>
        </w:rPr>
        <w:t>Note: Required Supplementary Information [including notes to the RSI] related to pensions is required per GASB 68 and should be included after the notes to the financial statements. See the 2020 Pro Forma Exhibits for an RSI template that satisfies this authoritative requirement.</w:t>
      </w:r>
    </w:p>
    <w:p w14:paraId="74847CBE" w14:textId="77777777" w:rsidR="00DB4AE8" w:rsidRPr="00E039B2" w:rsidRDefault="00DB4AE8" w:rsidP="00DB4AE8">
      <w:pPr>
        <w:spacing w:after="0" w:line="240" w:lineRule="auto"/>
        <w:ind w:left="1920"/>
        <w:contextualSpacing/>
        <w:jc w:val="both"/>
        <w:rPr>
          <w:rFonts w:ascii="Arial" w:eastAsia="Calibri" w:hAnsi="Arial" w:cs="Arial"/>
        </w:rPr>
      </w:pPr>
    </w:p>
    <w:p w14:paraId="19B28C6C" w14:textId="77777777" w:rsidR="00DB4AE8" w:rsidRPr="00E039B2" w:rsidRDefault="00DB4AE8" w:rsidP="00DB4AE8">
      <w:pPr>
        <w:spacing w:after="0" w:line="240" w:lineRule="auto"/>
        <w:ind w:left="1920"/>
        <w:contextualSpacing/>
        <w:jc w:val="both"/>
        <w:rPr>
          <w:rFonts w:ascii="Arial" w:eastAsia="Calibri" w:hAnsi="Arial" w:cs="Arial"/>
        </w:rPr>
      </w:pPr>
    </w:p>
    <w:p w14:paraId="71C1C766" w14:textId="77777777" w:rsidR="00DB4AE8" w:rsidRPr="00E039B2" w:rsidRDefault="00DB4AE8" w:rsidP="00DB4AE8">
      <w:pPr>
        <w:spacing w:after="0" w:line="240" w:lineRule="auto"/>
        <w:ind w:left="1920"/>
        <w:contextualSpacing/>
        <w:jc w:val="both"/>
        <w:rPr>
          <w:rFonts w:ascii="Arial" w:eastAsia="Calibri" w:hAnsi="Arial" w:cs="Arial"/>
          <w:b/>
          <w:color w:val="FF0000"/>
        </w:rPr>
      </w:pPr>
    </w:p>
    <w:p w14:paraId="35CDCF0A" w14:textId="12CB1F3E" w:rsidR="00AA200E" w:rsidRPr="00E039B2" w:rsidRDefault="00AA200E" w:rsidP="00AA200E">
      <w:pPr>
        <w:tabs>
          <w:tab w:val="left" w:pos="1080"/>
        </w:tabs>
        <w:spacing w:before="480" w:after="240" w:line="240" w:lineRule="auto"/>
        <w:rPr>
          <w:rFonts w:ascii="Arial" w:eastAsia="Times New Roman" w:hAnsi="Arial" w:cs="Arial"/>
          <w:b/>
          <w:smallCaps/>
        </w:rPr>
      </w:pPr>
      <w:r w:rsidRPr="00E039B2">
        <w:rPr>
          <w:rFonts w:ascii="Arial" w:eastAsia="Times New Roman" w:hAnsi="Arial" w:cs="Arial"/>
          <w:b/>
          <w:smallCaps/>
        </w:rPr>
        <w:t>Note 14</w:t>
      </w:r>
      <w:r w:rsidRPr="00E039B2">
        <w:rPr>
          <w:rFonts w:ascii="Arial" w:eastAsia="Times New Roman" w:hAnsi="Arial" w:cs="Arial"/>
          <w:b/>
          <w:smallCaps/>
        </w:rPr>
        <w:tab/>
        <w:t>-</w:t>
      </w:r>
      <w:r w:rsidRPr="00E039B2">
        <w:rPr>
          <w:rFonts w:ascii="Arial" w:eastAsia="Times New Roman" w:hAnsi="Arial" w:cs="Arial"/>
          <w:b/>
          <w:smallCaps/>
        </w:rPr>
        <w:tab/>
        <w:t>Other Postemployment Benefits</w:t>
      </w:r>
    </w:p>
    <w:p w14:paraId="338C7EB0" w14:textId="77777777" w:rsidR="00AA200E" w:rsidRPr="00E039B2" w:rsidRDefault="00AA200E" w:rsidP="00AA200E">
      <w:pPr>
        <w:tabs>
          <w:tab w:val="left" w:pos="1080"/>
        </w:tabs>
        <w:spacing w:after="240" w:line="240" w:lineRule="auto"/>
        <w:ind w:left="1440"/>
        <w:jc w:val="both"/>
        <w:rPr>
          <w:rFonts w:ascii="Arial" w:hAnsi="Arial" w:cs="Arial"/>
        </w:rPr>
      </w:pPr>
      <w:r w:rsidRPr="00E039B2">
        <w:rPr>
          <w:rFonts w:ascii="Arial" w:hAnsi="Arial" w:cs="Arial"/>
          <w:highlight w:val="yellow"/>
        </w:rPr>
        <w:t xml:space="preserve">Other postemployment benefit contributions to cost sharing plans are recognized as expenditures in the period to which the payment relates, even if payment is not due until the subsequent period. Consequently, the net other postemployment benefits liability, discussed in Note </w:t>
      </w:r>
      <w:r w:rsidRPr="00E039B2">
        <w:rPr>
          <w:rFonts w:ascii="Arial" w:hAnsi="Arial" w:cs="Arial"/>
          <w:b/>
          <w:color w:val="0000FF"/>
          <w:highlight w:val="yellow"/>
        </w:rPr>
        <w:t>XX [Refer to long term liabilities note]</w:t>
      </w:r>
      <w:r w:rsidRPr="00E039B2">
        <w:rPr>
          <w:rFonts w:ascii="Arial" w:hAnsi="Arial" w:cs="Arial"/>
          <w:b/>
          <w:highlight w:val="yellow"/>
        </w:rPr>
        <w:t>.</w:t>
      </w:r>
      <w:r w:rsidRPr="00E039B2">
        <w:rPr>
          <w:rFonts w:ascii="Arial" w:hAnsi="Arial" w:cs="Arial"/>
          <w:highlight w:val="yellow"/>
        </w:rPr>
        <w:t xml:space="preserve">  to the financial statements, is not reported on the face of the governmental fund financial statements. However, the net other postemployment benefits liability and asset for proprietary funds is reported on the face of the proprietary fund financial statements. </w:t>
      </w:r>
      <w:r w:rsidRPr="00E039B2">
        <w:rPr>
          <w:rFonts w:ascii="Arial" w:hAnsi="Arial" w:cs="Arial"/>
          <w:b/>
          <w:color w:val="0000FF"/>
          <w:highlight w:val="yellow"/>
        </w:rPr>
        <w:t>[</w:t>
      </w:r>
      <w:r w:rsidRPr="00E039B2">
        <w:rPr>
          <w:rFonts w:ascii="Arial" w:eastAsia="Calibri" w:hAnsi="Arial" w:cs="Arial"/>
          <w:b/>
          <w:color w:val="0000FF"/>
          <w:highlight w:val="yellow"/>
        </w:rPr>
        <w:t>Remove reference to proprietary funds if not applicable.]</w:t>
      </w:r>
    </w:p>
    <w:p w14:paraId="2FE4E76D" w14:textId="26766268" w:rsidR="00AA200E" w:rsidRPr="00E039B2" w:rsidRDefault="00AA200E" w:rsidP="00AA200E">
      <w:pPr>
        <w:tabs>
          <w:tab w:val="left" w:pos="1560"/>
        </w:tabs>
        <w:spacing w:after="240" w:line="240" w:lineRule="auto"/>
        <w:ind w:left="1440"/>
        <w:jc w:val="both"/>
        <w:rPr>
          <w:rFonts w:ascii="Arial" w:eastAsia="Times New Roman" w:hAnsi="Arial" w:cs="Arial"/>
          <w:b/>
          <w:color w:val="0000FF"/>
        </w:rPr>
      </w:pPr>
      <w:r w:rsidRPr="00E039B2">
        <w:rPr>
          <w:rFonts w:ascii="Arial" w:eastAsia="Times New Roman" w:hAnsi="Arial" w:cs="Arial"/>
        </w:rPr>
        <w:t xml:space="preserve">The Department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w:t>
      </w:r>
      <w:r w:rsidRPr="00E039B2">
        <w:rPr>
          <w:rFonts w:ascii="Arial" w:eastAsia="Times New Roman" w:hAnsi="Arial" w:cs="Arial"/>
          <w:highlight w:val="yellow"/>
        </w:rPr>
        <w:t>2019</w:t>
      </w:r>
      <w:r w:rsidRPr="00E039B2">
        <w:rPr>
          <w:rFonts w:ascii="Arial" w:eastAsia="Times New Roman" w:hAnsi="Arial" w:cs="Arial"/>
          <w:i/>
        </w:rPr>
        <w:t xml:space="preserve"> Comprehensive Annual Financial Report.</w:t>
      </w:r>
      <w:r w:rsidRPr="00E039B2">
        <w:rPr>
          <w:rFonts w:ascii="Arial" w:eastAsia="Times New Roman" w:hAnsi="Arial" w:cs="Arial"/>
        </w:rPr>
        <w:t xml:space="preserve"> An electronic version of this report is available on the North Carolina Office of the State Controller’s website at</w:t>
      </w:r>
      <w:r w:rsidRPr="00E039B2">
        <w:rPr>
          <w:rFonts w:ascii="Times New Roman" w:eastAsia="Times New Roman" w:hAnsi="Times New Roman" w:cs="Times New Roman"/>
        </w:rPr>
        <w:t xml:space="preserve"> </w:t>
      </w:r>
      <w:hyperlink r:id="rId70" w:history="1">
        <w:r w:rsidRPr="00E039B2">
          <w:rPr>
            <w:rFonts w:ascii="Arial" w:eastAsia="Times New Roman" w:hAnsi="Arial" w:cs="Arial"/>
          </w:rPr>
          <w:t>https://www.osc.nc.gov/</w:t>
        </w:r>
      </w:hyperlink>
      <w:r w:rsidRPr="00E039B2">
        <w:rPr>
          <w:rFonts w:ascii="Arial" w:eastAsia="Times New Roman" w:hAnsi="Arial" w:cs="Arial"/>
        </w:rPr>
        <w:t xml:space="preserve"> or by calling the State Controller’s Financial Reporting Section at (919) 707-0500.</w:t>
      </w:r>
      <w:r w:rsidRPr="00E039B2">
        <w:rPr>
          <w:rFonts w:ascii="Arial" w:eastAsia="Times New Roman" w:hAnsi="Arial" w:cs="Arial"/>
          <w:b/>
          <w:color w:val="0000FF"/>
        </w:rPr>
        <w:t xml:space="preserve"> </w:t>
      </w:r>
    </w:p>
    <w:p w14:paraId="7B8F10FE" w14:textId="1CEE51F1" w:rsidR="00AA200E" w:rsidRPr="00E039B2" w:rsidRDefault="00AA200E" w:rsidP="00AA200E">
      <w:pPr>
        <w:numPr>
          <w:ilvl w:val="0"/>
          <w:numId w:val="35"/>
        </w:numPr>
        <w:spacing w:after="0" w:line="240" w:lineRule="auto"/>
        <w:ind w:left="1886" w:hanging="446"/>
        <w:contextualSpacing/>
        <w:jc w:val="both"/>
        <w:rPr>
          <w:rFonts w:ascii="Arial" w:eastAsia="Times New Roman" w:hAnsi="Arial" w:cs="Arial"/>
          <w:b/>
        </w:rPr>
      </w:pPr>
      <w:r w:rsidRPr="00E039B2">
        <w:rPr>
          <w:rFonts w:ascii="Arial" w:eastAsia="Times New Roman" w:hAnsi="Arial" w:cs="Arial"/>
          <w:b/>
        </w:rPr>
        <w:t>Summary of Significant Accounting Polic</w:t>
      </w:r>
      <w:r w:rsidR="00127C4F" w:rsidRPr="00E039B2">
        <w:rPr>
          <w:rFonts w:ascii="Arial" w:eastAsia="Times New Roman" w:hAnsi="Arial" w:cs="Arial"/>
          <w:b/>
        </w:rPr>
        <w:t>i</w:t>
      </w:r>
      <w:r w:rsidRPr="00E039B2">
        <w:rPr>
          <w:rFonts w:ascii="Arial" w:eastAsia="Times New Roman" w:hAnsi="Arial" w:cs="Arial"/>
          <w:b/>
        </w:rPr>
        <w:t>es and Plan Asset Matters</w:t>
      </w:r>
    </w:p>
    <w:p w14:paraId="3A8BDCA8" w14:textId="77777777" w:rsidR="00AA200E" w:rsidRPr="00E039B2" w:rsidRDefault="00AA200E" w:rsidP="00AA200E">
      <w:pPr>
        <w:spacing w:after="0" w:line="240" w:lineRule="auto"/>
        <w:ind w:left="1572"/>
        <w:contextualSpacing/>
        <w:jc w:val="both"/>
        <w:rPr>
          <w:rFonts w:ascii="Arial" w:eastAsia="Times New Roman" w:hAnsi="Arial" w:cs="Arial"/>
          <w:b/>
        </w:rPr>
      </w:pPr>
    </w:p>
    <w:p w14:paraId="229CE097" w14:textId="77777777" w:rsidR="00AA200E" w:rsidRPr="00E039B2" w:rsidRDefault="00AA200E" w:rsidP="00AA200E">
      <w:pPr>
        <w:tabs>
          <w:tab w:val="left" w:pos="1080"/>
        </w:tabs>
        <w:spacing w:before="360" w:after="240" w:line="240" w:lineRule="auto"/>
        <w:ind w:left="1915"/>
        <w:contextualSpacing/>
        <w:jc w:val="both"/>
        <w:rPr>
          <w:rFonts w:ascii="Arial" w:eastAsia="Times New Roman" w:hAnsi="Arial" w:cs="Arial"/>
        </w:rPr>
      </w:pPr>
      <w:r w:rsidRPr="00E039B2">
        <w:rPr>
          <w:rFonts w:ascii="Arial" w:eastAsia="Times New Roman" w:hAnsi="Arial" w:cs="Arial"/>
          <w:i/>
        </w:rPr>
        <w:t xml:space="preserve">Basis of Accounting: </w:t>
      </w:r>
      <w:r w:rsidRPr="00E039B2">
        <w:rPr>
          <w:rFonts w:ascii="Arial" w:eastAsia="Times New Roman" w:hAnsi="Arial" w:cs="Arial"/>
        </w:rPr>
        <w:t>The financial statements of these plans were prepared using the accrual basis of accounting. Employer contributions are recognized when due and the employer has made a formal commitment to provide the contributions. Benefits are recognized when due and payable in accordance with the terms of each plan.</w:t>
      </w:r>
      <w:r w:rsidRPr="00E039B2">
        <w:rPr>
          <w:rFonts w:ascii="Univers (W1)" w:eastAsia="Times New Roman" w:hAnsi="Univers (W1)" w:cs="Times New Roman"/>
        </w:rPr>
        <w:t xml:space="preserve"> </w:t>
      </w:r>
      <w:r w:rsidRPr="00E039B2">
        <w:rPr>
          <w:rFonts w:ascii="Arial" w:eastAsia="Times New Roman" w:hAnsi="Arial" w:cs="Arial"/>
        </w:rPr>
        <w:t xml:space="preserve">For purposes of measuring the net OPEB liability, deferred outflows of resources and deferred inflows of resources related to OPEB, and OPEB expense, information about the fiduciary net position of each plan, and additions to/deductions from each plans’ fiduciary net position have been determined on the same basis as they are reported by the plans. </w:t>
      </w:r>
    </w:p>
    <w:p w14:paraId="7760C63C" w14:textId="77777777" w:rsidR="00AA200E" w:rsidRPr="00E039B2" w:rsidRDefault="00AA200E" w:rsidP="00AA200E">
      <w:pPr>
        <w:tabs>
          <w:tab w:val="left" w:pos="1080"/>
        </w:tabs>
        <w:spacing w:before="360" w:after="240" w:line="240" w:lineRule="auto"/>
        <w:ind w:left="1886"/>
        <w:contextualSpacing/>
        <w:jc w:val="both"/>
        <w:rPr>
          <w:rFonts w:ascii="Arial" w:eastAsia="Times New Roman" w:hAnsi="Arial" w:cs="Arial"/>
          <w:smallCaps/>
        </w:rPr>
      </w:pPr>
    </w:p>
    <w:p w14:paraId="56A1F3A4" w14:textId="16BC8146" w:rsidR="00AA200E" w:rsidRPr="00E039B2" w:rsidRDefault="00AA200E" w:rsidP="00AA200E">
      <w:pPr>
        <w:spacing w:after="240" w:line="240" w:lineRule="auto"/>
        <w:ind w:left="1915"/>
        <w:contextualSpacing/>
        <w:jc w:val="both"/>
        <w:rPr>
          <w:rFonts w:ascii="Arial" w:eastAsia="Times New Roman" w:hAnsi="Arial" w:cs="Arial"/>
          <w:i/>
        </w:rPr>
      </w:pPr>
      <w:r w:rsidRPr="00E039B2">
        <w:rPr>
          <w:rFonts w:ascii="Arial" w:eastAsia="Times New Roman" w:hAnsi="Arial" w:cs="Arial"/>
          <w:i/>
        </w:rPr>
        <w:t xml:space="preserve">Methods Used to Value Plan Investments: </w:t>
      </w:r>
      <w:r w:rsidRPr="00E039B2">
        <w:rPr>
          <w:rFonts w:ascii="Arial" w:eastAsia="Times New Roman" w:hAnsi="Arial" w:cs="Arial"/>
        </w:rPr>
        <w:t xml:space="preserve">Pursuant to </w:t>
      </w:r>
      <w:r w:rsidRPr="00E039B2">
        <w:rPr>
          <w:rFonts w:ascii="Arial" w:eastAsia="Times New Roman" w:hAnsi="Arial" w:cs="Arial"/>
          <w:i/>
        </w:rPr>
        <w:t>North Carolina General Statutes</w:t>
      </w:r>
      <w:r w:rsidRPr="00E039B2">
        <w:rPr>
          <w:rFonts w:ascii="Arial" w:eastAsia="Times New Roman" w:hAnsi="Arial" w:cs="Arial"/>
        </w:rPr>
        <w:t xml:space="preserve">, the State Treasurer is the custodian and administrator of the other postemployment benefits funds. The State Treasurer maintains various investment portfolios in its External Investment Pool. The Retiree Health Benefit Fund participates in the External Investment Pool. The Disability Income Plan of North Carolina is invested in the Short-Term Investment Portfolio of the External Investment Pool and the Bond Index External Investment Pool. The investment balance of each other employee benefit trust fund represents its share of the fair value of the net position of the various portfolios within the pool. Detailed descriptions of the methods and significant assumptions regarding investments of the </w:t>
      </w:r>
      <w:r w:rsidRPr="00E039B2">
        <w:rPr>
          <w:rFonts w:ascii="Arial" w:eastAsia="Times New Roman" w:hAnsi="Arial" w:cs="Arial"/>
        </w:rPr>
        <w:lastRenderedPageBreak/>
        <w:t xml:space="preserve">State Treasurer are provided in the </w:t>
      </w:r>
      <w:r w:rsidRPr="00E039B2">
        <w:rPr>
          <w:rFonts w:ascii="Arial" w:eastAsia="Times New Roman" w:hAnsi="Arial" w:cs="Arial"/>
          <w:highlight w:val="yellow"/>
        </w:rPr>
        <w:t>2019</w:t>
      </w:r>
      <w:r w:rsidRPr="00E039B2">
        <w:rPr>
          <w:rFonts w:ascii="Arial" w:eastAsia="Times New Roman" w:hAnsi="Arial" w:cs="Arial"/>
        </w:rPr>
        <w:t xml:space="preserve"> </w:t>
      </w:r>
      <w:r w:rsidRPr="00E039B2">
        <w:rPr>
          <w:rFonts w:ascii="Arial" w:eastAsia="Times New Roman" w:hAnsi="Arial" w:cs="Arial"/>
          <w:i/>
        </w:rPr>
        <w:t xml:space="preserve">Comprehensive Annual Financial Report. </w:t>
      </w:r>
    </w:p>
    <w:p w14:paraId="1E0CC08F" w14:textId="77777777" w:rsidR="00AA200E" w:rsidRPr="00E039B2" w:rsidRDefault="00AA200E" w:rsidP="00AA200E">
      <w:pPr>
        <w:spacing w:after="240" w:line="240" w:lineRule="auto"/>
        <w:ind w:left="1440"/>
        <w:contextualSpacing/>
        <w:jc w:val="both"/>
        <w:rPr>
          <w:rFonts w:ascii="Arial" w:eastAsia="Times New Roman" w:hAnsi="Arial" w:cs="Arial"/>
          <w:i/>
        </w:rPr>
      </w:pPr>
    </w:p>
    <w:p w14:paraId="6A43E997" w14:textId="77777777" w:rsidR="00AA200E" w:rsidRPr="00E039B2" w:rsidRDefault="00AA200E" w:rsidP="00AA200E">
      <w:pPr>
        <w:numPr>
          <w:ilvl w:val="0"/>
          <w:numId w:val="35"/>
        </w:numPr>
        <w:spacing w:after="240" w:line="240" w:lineRule="auto"/>
        <w:ind w:left="1886" w:hanging="446"/>
        <w:contextualSpacing/>
        <w:jc w:val="both"/>
        <w:rPr>
          <w:rFonts w:ascii="Arial" w:eastAsia="Times New Roman" w:hAnsi="Arial" w:cs="Arial"/>
          <w:b/>
        </w:rPr>
      </w:pPr>
      <w:r w:rsidRPr="00E039B2">
        <w:rPr>
          <w:rFonts w:ascii="Arial" w:eastAsia="Times New Roman" w:hAnsi="Arial" w:cs="Arial"/>
          <w:b/>
        </w:rPr>
        <w:t>Plan Descriptions</w:t>
      </w:r>
    </w:p>
    <w:p w14:paraId="4A65362C" w14:textId="77777777" w:rsidR="00AA200E" w:rsidRPr="00E039B2" w:rsidRDefault="00AA200E" w:rsidP="00AA200E">
      <w:pPr>
        <w:spacing w:after="240" w:line="240" w:lineRule="auto"/>
        <w:ind w:left="2292"/>
        <w:contextualSpacing/>
        <w:jc w:val="both"/>
        <w:rPr>
          <w:rFonts w:ascii="Arial" w:eastAsia="Times New Roman" w:hAnsi="Arial" w:cs="Arial"/>
          <w:b/>
        </w:rPr>
      </w:pPr>
    </w:p>
    <w:p w14:paraId="27DC1A8A" w14:textId="77777777" w:rsidR="00AA200E" w:rsidRPr="00E039B2" w:rsidRDefault="00AA200E" w:rsidP="00AA200E">
      <w:pPr>
        <w:numPr>
          <w:ilvl w:val="0"/>
          <w:numId w:val="36"/>
        </w:numPr>
        <w:spacing w:after="240" w:line="240" w:lineRule="auto"/>
        <w:ind w:left="2246"/>
        <w:contextualSpacing/>
        <w:jc w:val="both"/>
        <w:rPr>
          <w:rFonts w:ascii="Arial" w:eastAsia="Times New Roman" w:hAnsi="Arial" w:cs="Arial"/>
          <w:b/>
        </w:rPr>
      </w:pPr>
      <w:r w:rsidRPr="00E039B2">
        <w:rPr>
          <w:rFonts w:ascii="Arial" w:eastAsia="Times New Roman" w:hAnsi="Arial" w:cs="Arial"/>
          <w:b/>
        </w:rPr>
        <w:t>Health Benefits</w:t>
      </w:r>
    </w:p>
    <w:p w14:paraId="41F2F0D5" w14:textId="77777777" w:rsidR="00AA200E" w:rsidRPr="00E039B2" w:rsidRDefault="00AA200E" w:rsidP="00AA200E">
      <w:pPr>
        <w:tabs>
          <w:tab w:val="left" w:pos="1560"/>
        </w:tabs>
        <w:spacing w:after="240" w:line="240" w:lineRule="auto"/>
        <w:ind w:left="2250"/>
        <w:jc w:val="both"/>
        <w:rPr>
          <w:rFonts w:ascii="Arial" w:eastAsia="Times New Roman" w:hAnsi="Arial" w:cs="Arial"/>
        </w:rPr>
      </w:pPr>
      <w:r w:rsidRPr="00E039B2">
        <w:rPr>
          <w:rFonts w:ascii="Arial" w:hAnsi="Arial" w:cs="Arial"/>
          <w:i/>
        </w:rPr>
        <w:t xml:space="preserve">Plan Administration:  </w:t>
      </w:r>
      <w:r w:rsidRPr="00E039B2">
        <w:rPr>
          <w:rFonts w:ascii="Arial" w:eastAsia="Times New Roman" w:hAnsi="Arial" w:cs="Arial"/>
        </w:rPr>
        <w:t xml:space="preserve">The State of North Carolina administers the North Carolina State Health Plan for Teachers and State Employees, referred to as the State Health Plan (the Plan), a healthcare plan exclusively for 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200DE6E9" w14:textId="77777777" w:rsidR="00AA200E" w:rsidRPr="00E039B2" w:rsidRDefault="00AA200E" w:rsidP="00AA200E">
      <w:pPr>
        <w:tabs>
          <w:tab w:val="left" w:pos="1560"/>
        </w:tabs>
        <w:spacing w:after="240" w:line="240" w:lineRule="auto"/>
        <w:ind w:left="2250"/>
        <w:jc w:val="both"/>
        <w:rPr>
          <w:rFonts w:ascii="Arial" w:eastAsia="Times New Roman" w:hAnsi="Arial" w:cs="Arial"/>
        </w:rPr>
      </w:pPr>
      <w:r w:rsidRPr="00E039B2">
        <w:rPr>
          <w:rFonts w:ascii="Arial" w:eastAsia="Times New Roman" w:hAnsi="Arial" w:cs="Arial"/>
        </w:rPr>
        <w:t xml:space="preserve">The Retiree Health Benefit Fund (RHBF) has been established as a fund to provide health benefits to retired and disabled employees and their applicable beneficiaries. RHBF is established by General Statute 135-7, Article 1. RHBF is a cost-sharing, multiple-employer, defined benefit healthcare plan, exclusively for the benefit of eligible former employees of the State, the University of North Carolina System, and community colleges. In addition, LEAs, charter schools, and some select local governments that are not part of the State’s financial reporting entity also participate. </w:t>
      </w:r>
    </w:p>
    <w:p w14:paraId="50602FB7" w14:textId="77777777" w:rsidR="00AA200E" w:rsidRPr="00E039B2" w:rsidRDefault="00AA200E" w:rsidP="00AA200E">
      <w:pPr>
        <w:tabs>
          <w:tab w:val="left" w:pos="1560"/>
        </w:tabs>
        <w:spacing w:after="240" w:line="240" w:lineRule="auto"/>
        <w:ind w:left="2250"/>
        <w:jc w:val="both"/>
        <w:rPr>
          <w:rFonts w:ascii="Arial" w:eastAsia="Times New Roman" w:hAnsi="Arial" w:cs="Arial"/>
        </w:rPr>
      </w:pPr>
      <w:r w:rsidRPr="00E039B2">
        <w:rPr>
          <w:rFonts w:ascii="Arial" w:eastAsia="Times New Roman" w:hAnsi="Arial" w:cs="Arial"/>
        </w:rPr>
        <w:t xml:space="preserve">By statute, RHBF is administered by the Board of Trustees of the Teachers’ and State Employees’ Retirement System (TSERS). RHBF is supported by a percent of payroll contributions from participating employing units. Each year the percentage is set in legislation, as are the maximum per retiree contributions from RHBF to the Plan. The State Treasurer, with the approval of the Plan Board of Trustees, then sets the employer contributions (subject to the legislative cap) and the premiums to be paid by retirees, as well as the health benefits to be provided through the Plan. </w:t>
      </w:r>
    </w:p>
    <w:p w14:paraId="15136CBB" w14:textId="57634E8B" w:rsidR="00AA200E" w:rsidRPr="00E039B2" w:rsidRDefault="00AA200E" w:rsidP="00AA200E">
      <w:pPr>
        <w:spacing w:after="240" w:line="240" w:lineRule="auto"/>
        <w:ind w:left="2250"/>
        <w:jc w:val="both"/>
        <w:rPr>
          <w:rFonts w:ascii="Arial" w:eastAsia="Times New Roman" w:hAnsi="Arial" w:cs="Arial"/>
        </w:rPr>
      </w:pPr>
      <w:r w:rsidRPr="00E039B2">
        <w:rPr>
          <w:rFonts w:ascii="Arial" w:eastAsia="Times New Roman" w:hAnsi="Arial" w:cs="Arial"/>
          <w:i/>
        </w:rPr>
        <w:t xml:space="preserve">Benefits Provided:  </w:t>
      </w:r>
      <w:r w:rsidRPr="00E039B2">
        <w:rPr>
          <w:rFonts w:ascii="Arial" w:eastAsia="Times New Roman" w:hAnsi="Arial" w:cs="Arial"/>
        </w:rPr>
        <w:t xml:space="preserve">Plan benefits received by retired employees and disabled employees from RHBF are OPEB. The healthcare benefits for retired and disabled employees who are not eligible for Medicare are the same as for active employees as described in Note </w:t>
      </w:r>
      <w:r w:rsidRPr="00E039B2">
        <w:rPr>
          <w:rFonts w:ascii="Arial" w:eastAsia="Times New Roman" w:hAnsi="Arial" w:cs="Arial"/>
          <w:b/>
          <w:color w:val="0000FF"/>
        </w:rPr>
        <w:t>XX [Refer to risk management note – where the State Health Plan is described]</w:t>
      </w:r>
      <w:r w:rsidRPr="00E039B2">
        <w:rPr>
          <w:rFonts w:ascii="Arial" w:eastAsia="Times New Roman" w:hAnsi="Arial" w:cs="Arial"/>
          <w:b/>
        </w:rPr>
        <w:t>.</w:t>
      </w:r>
      <w:r w:rsidRPr="00E039B2">
        <w:rPr>
          <w:rFonts w:ascii="Arial" w:eastAsia="Times New Roman" w:hAnsi="Arial" w:cs="Arial"/>
        </w:rPr>
        <w:t xml:space="preserve"> The plan options change when former employees become eligible for Medicare. Medicare retirees have the option of selecting one of two fully-insured Medicare Advantage/Prescription Drug Plan options or the self-funded Traditional 70/30 Preferred Provider Organization plan option that is also offered to non-Medicare members. If the </w:t>
      </w:r>
      <w:r w:rsidR="00127C4F" w:rsidRPr="00E039B2">
        <w:rPr>
          <w:rFonts w:ascii="Arial" w:eastAsia="Times New Roman" w:hAnsi="Arial" w:cs="Arial"/>
        </w:rPr>
        <w:t>T</w:t>
      </w:r>
      <w:r w:rsidRPr="00E039B2">
        <w:rPr>
          <w:rFonts w:ascii="Arial" w:eastAsia="Times New Roman" w:hAnsi="Arial" w:cs="Arial"/>
        </w:rPr>
        <w:t xml:space="preserve">raditional 70/30 Plan is selected by a Medicare retiree, the self-funded State Health Plan coverage is secondary to Medicare. </w:t>
      </w:r>
    </w:p>
    <w:p w14:paraId="253EEEF8" w14:textId="2E01458B" w:rsidR="00AA200E" w:rsidRPr="00E039B2" w:rsidRDefault="00AA200E" w:rsidP="00AA200E">
      <w:pPr>
        <w:spacing w:after="240" w:line="240" w:lineRule="auto"/>
        <w:ind w:left="2246"/>
        <w:jc w:val="both"/>
        <w:rPr>
          <w:rFonts w:ascii="Arial" w:eastAsia="Times New Roman" w:hAnsi="Arial" w:cs="Arial"/>
        </w:rPr>
      </w:pPr>
      <w:r w:rsidRPr="00E039B2">
        <w:rPr>
          <w:rFonts w:ascii="Arial" w:eastAsia="Times New Roman" w:hAnsi="Arial" w:cs="Arial"/>
        </w:rPr>
        <w:lastRenderedPageBreak/>
        <w:t>Those former employees who are eligible to receive medical benefits from RHBF are long-term disability beneficiaries of the Disability Income Plan of North Carolina and retirees of TSERS, the Consolidated Judicial Retirement System, the Legislative Retirement System, the University Employees’ Optional Retirement Program</w:t>
      </w:r>
      <w:r w:rsidR="00C66CFB" w:rsidRPr="00E039B2">
        <w:rPr>
          <w:rFonts w:ascii="Arial" w:eastAsia="Times New Roman" w:hAnsi="Arial" w:cs="Arial"/>
        </w:rPr>
        <w:t xml:space="preserve"> (ORP)</w:t>
      </w:r>
      <w:r w:rsidRPr="00E039B2">
        <w:rPr>
          <w:rFonts w:ascii="Arial" w:eastAsia="Times New Roman" w:hAnsi="Arial" w:cs="Arial"/>
        </w:rPr>
        <w:t>, and a small number of local governments, with five or more years of contributory membership service in their retirement system prior to disability or retirement, with the following exceptions:  for employees first hired on or after October 1, 2006, and members of the North Carolina General Assembly first taking office on or after February 1, 2007, future coverage as retired employees and retired members of the North Carolina General Assembly is subject to the requirement that the future retiree have 20 or more years of retirement service credit in order to receive coverage on a noncontributory basis. Employees first hired on or after October 1, 2006 and members of the North Carolina General Assembly first taking office on or after February 1, 2007 with 10 but less than 20 years of retirement service credit are eligible for coverage on a partially contributory basis. For such future retirees, the State will pay 50% of the State Health Plan’s total noncontributory premium.</w:t>
      </w:r>
      <w:r w:rsidRPr="00E039B2">
        <w:rPr>
          <w:rFonts w:ascii="Arial" w:eastAsia="Times New Roman" w:hAnsi="Arial" w:cs="Arial"/>
          <w:b/>
          <w:color w:val="0000FF"/>
        </w:rPr>
        <w:t xml:space="preserve"> </w:t>
      </w:r>
    </w:p>
    <w:p w14:paraId="7A6259EF" w14:textId="77777777" w:rsidR="00AA200E" w:rsidRPr="00E039B2" w:rsidRDefault="00AA200E" w:rsidP="00AA200E">
      <w:pPr>
        <w:spacing w:after="240" w:line="240" w:lineRule="auto"/>
        <w:ind w:left="2250"/>
        <w:jc w:val="both"/>
        <w:rPr>
          <w:rFonts w:ascii="Arial" w:hAnsi="Arial" w:cs="Arial"/>
        </w:rPr>
      </w:pPr>
      <w:r w:rsidRPr="00E039B2">
        <w:rPr>
          <w:rFonts w:ascii="Arial" w:hAnsi="Arial" w:cs="Arial"/>
        </w:rPr>
        <w:t xml:space="preserve">The Plan’s and RHBF’s benefit and contribution provisions are established by Chapter 135-7, Article 1, and Chapter 135, Article 3B, of the General Statutes, and may be amended only by the North Carolina General Assembly. RHBF does not provide for automatic post-retirement benefit increases. </w:t>
      </w:r>
    </w:p>
    <w:p w14:paraId="2A212EB8" w14:textId="3A5DDCEE" w:rsidR="00AA200E" w:rsidRPr="00E039B2" w:rsidRDefault="00AA200E" w:rsidP="00AA200E">
      <w:pPr>
        <w:spacing w:after="240" w:line="240" w:lineRule="auto"/>
        <w:ind w:left="2250"/>
        <w:jc w:val="both"/>
        <w:rPr>
          <w:rFonts w:ascii="Arial" w:hAnsi="Arial" w:cs="Arial"/>
        </w:rPr>
      </w:pPr>
      <w:r w:rsidRPr="00E039B2">
        <w:rPr>
          <w:rFonts w:ascii="Arial" w:hAnsi="Arial" w:cs="Arial"/>
          <w:i/>
        </w:rPr>
        <w:t xml:space="preserve">Contributions:  </w:t>
      </w:r>
      <w:r w:rsidRPr="00E039B2">
        <w:rPr>
          <w:rFonts w:ascii="Arial" w:hAnsi="Arial" w:cs="Arial"/>
        </w:rPr>
        <w:t xml:space="preserve">Contribution rates to RHBF, which are intended to finance benefits and administrative expenses on a pay-as-you-go basis, are determined by the </w:t>
      </w:r>
      <w:r w:rsidRPr="00E039B2">
        <w:rPr>
          <w:rFonts w:ascii="Arial" w:hAnsi="Arial" w:cs="Arial"/>
          <w:highlight w:val="yellow"/>
        </w:rPr>
        <w:t>North Carolina</w:t>
      </w:r>
      <w:r w:rsidRPr="00E039B2">
        <w:rPr>
          <w:rFonts w:ascii="Arial" w:hAnsi="Arial" w:cs="Arial"/>
        </w:rPr>
        <w:t xml:space="preserve"> General Assembly in the Appropriations Bill. The Department’s contractually-required contribution rate for the year ended June 30, </w:t>
      </w:r>
      <w:r w:rsidRPr="00E039B2">
        <w:rPr>
          <w:rFonts w:ascii="Arial" w:hAnsi="Arial" w:cs="Arial"/>
          <w:highlight w:val="yellow"/>
        </w:rPr>
        <w:t>2020</w:t>
      </w:r>
      <w:r w:rsidRPr="00E039B2">
        <w:rPr>
          <w:rFonts w:ascii="Arial" w:hAnsi="Arial" w:cs="Arial"/>
        </w:rPr>
        <w:t xml:space="preserve"> was </w:t>
      </w:r>
      <w:r w:rsidRPr="00E039B2">
        <w:rPr>
          <w:rFonts w:ascii="Arial" w:hAnsi="Arial" w:cs="Arial"/>
          <w:highlight w:val="yellow"/>
        </w:rPr>
        <w:t>6.47%</w:t>
      </w:r>
      <w:r w:rsidRPr="00E039B2">
        <w:rPr>
          <w:rFonts w:ascii="Arial" w:hAnsi="Arial" w:cs="Arial"/>
        </w:rPr>
        <w:t xml:space="preserve"> of covered payroll. The Department’s contributions to the RHBF were $________</w:t>
      </w:r>
      <w:r w:rsidRPr="00E039B2">
        <w:rPr>
          <w:rFonts w:ascii="Arial" w:hAnsi="Arial" w:cs="Arial"/>
          <w:b/>
        </w:rPr>
        <w:t xml:space="preserve"> </w:t>
      </w:r>
      <w:r w:rsidRPr="00E039B2">
        <w:rPr>
          <w:rFonts w:ascii="Arial" w:hAnsi="Arial" w:cs="Arial"/>
        </w:rPr>
        <w:t xml:space="preserve">for the year ended June 30, </w:t>
      </w:r>
      <w:r w:rsidRPr="00E039B2">
        <w:rPr>
          <w:rFonts w:ascii="Arial" w:hAnsi="Arial" w:cs="Arial"/>
          <w:highlight w:val="yellow"/>
        </w:rPr>
        <w:t>2020</w:t>
      </w:r>
      <w:r w:rsidRPr="00E039B2">
        <w:rPr>
          <w:rFonts w:ascii="Arial" w:hAnsi="Arial" w:cs="Arial"/>
        </w:rPr>
        <w:t xml:space="preserve">. </w:t>
      </w:r>
      <w:r w:rsidRPr="00E039B2">
        <w:rPr>
          <w:rFonts w:ascii="Arial" w:hAnsi="Arial" w:cs="Arial"/>
          <w:highlight w:val="yellow"/>
        </w:rPr>
        <w:t>Of this amount,</w:t>
      </w:r>
      <w:r w:rsidRPr="00E039B2">
        <w:rPr>
          <w:rFonts w:ascii="Arial" w:hAnsi="Arial" w:cs="Arial"/>
        </w:rPr>
        <w:t xml:space="preserve"> the proprietary funds </w:t>
      </w:r>
      <w:r w:rsidRPr="00E039B2">
        <w:rPr>
          <w:rFonts w:ascii="Arial" w:hAnsi="Arial" w:cs="Arial"/>
          <w:highlight w:val="yellow"/>
        </w:rPr>
        <w:t>contributed</w:t>
      </w:r>
      <w:r w:rsidRPr="00E039B2">
        <w:rPr>
          <w:rFonts w:ascii="Arial" w:hAnsi="Arial" w:cs="Arial"/>
        </w:rPr>
        <w:t xml:space="preserve"> $______. </w:t>
      </w:r>
      <w:r w:rsidRPr="00E039B2">
        <w:rPr>
          <w:rFonts w:ascii="Arial" w:eastAsia="Calibri" w:hAnsi="Arial" w:cs="Arial"/>
          <w:b/>
          <w:color w:val="0000FF"/>
        </w:rPr>
        <w:t>[Remove reference to proprietary funds if not applicable.]</w:t>
      </w:r>
    </w:p>
    <w:p w14:paraId="560A1D49" w14:textId="77777777" w:rsidR="00AA200E" w:rsidRPr="00E039B2" w:rsidRDefault="00AA200E" w:rsidP="00AA200E">
      <w:pPr>
        <w:numPr>
          <w:ilvl w:val="0"/>
          <w:numId w:val="36"/>
        </w:numPr>
        <w:tabs>
          <w:tab w:val="left" w:pos="1560"/>
        </w:tabs>
        <w:spacing w:after="240" w:line="240" w:lineRule="auto"/>
        <w:ind w:left="2246"/>
        <w:contextualSpacing/>
        <w:jc w:val="both"/>
        <w:rPr>
          <w:rFonts w:ascii="Arial" w:eastAsia="Times New Roman" w:hAnsi="Arial" w:cs="Arial"/>
          <w:b/>
        </w:rPr>
      </w:pPr>
      <w:r w:rsidRPr="00E039B2">
        <w:rPr>
          <w:rFonts w:ascii="Arial" w:eastAsia="Times New Roman" w:hAnsi="Arial" w:cs="Arial"/>
          <w:b/>
        </w:rPr>
        <w:t xml:space="preserve">Disability Income </w:t>
      </w:r>
    </w:p>
    <w:p w14:paraId="5D126E8E" w14:textId="77777777" w:rsidR="00AA200E" w:rsidRPr="00E039B2" w:rsidRDefault="00AA200E" w:rsidP="00AA200E">
      <w:pPr>
        <w:tabs>
          <w:tab w:val="left" w:pos="1560"/>
        </w:tabs>
        <w:spacing w:after="240" w:line="240" w:lineRule="auto"/>
        <w:ind w:left="2052"/>
        <w:contextualSpacing/>
        <w:jc w:val="both"/>
        <w:rPr>
          <w:rFonts w:ascii="Arial" w:eastAsia="Times New Roman" w:hAnsi="Arial" w:cs="Arial"/>
          <w:b/>
        </w:rPr>
      </w:pPr>
    </w:p>
    <w:p w14:paraId="27283326" w14:textId="01A02A80" w:rsidR="00AA200E" w:rsidRPr="00E039B2" w:rsidRDefault="00AA200E" w:rsidP="00AA200E">
      <w:pPr>
        <w:tabs>
          <w:tab w:val="left" w:pos="1560"/>
        </w:tabs>
        <w:spacing w:after="240" w:line="240" w:lineRule="auto"/>
        <w:ind w:left="2250"/>
        <w:contextualSpacing/>
        <w:jc w:val="both"/>
        <w:rPr>
          <w:rFonts w:ascii="Arial" w:eastAsia="Times New Roman" w:hAnsi="Arial" w:cs="Arial"/>
          <w:b/>
          <w:color w:val="0000FF"/>
        </w:rPr>
      </w:pPr>
      <w:r w:rsidRPr="00E039B2">
        <w:rPr>
          <w:rFonts w:ascii="Arial" w:eastAsia="Times New Roman" w:hAnsi="Arial" w:cs="Arial"/>
          <w:i/>
        </w:rPr>
        <w:t>Plan Administration:</w:t>
      </w:r>
      <w:r w:rsidRPr="00E039B2">
        <w:rPr>
          <w:rFonts w:ascii="Arial" w:eastAsia="Times New Roman" w:hAnsi="Arial" w:cs="Arial"/>
        </w:rPr>
        <w:t xml:space="preserve"> As discussed in Note </w:t>
      </w:r>
      <w:r w:rsidRPr="00E039B2">
        <w:rPr>
          <w:rFonts w:ascii="Arial" w:eastAsia="Times New Roman" w:hAnsi="Arial" w:cs="Arial"/>
          <w:b/>
          <w:color w:val="0000FF"/>
        </w:rPr>
        <w:t>XX [Refer to Risk Management note]</w:t>
      </w:r>
      <w:r w:rsidRPr="00E039B2">
        <w:rPr>
          <w:rFonts w:ascii="Arial" w:eastAsia="Times New Roman" w:hAnsi="Arial" w:cs="Arial"/>
        </w:rPr>
        <w:t xml:space="preserve">, short-term and long-term disability benefits are provided through the Disability Income Plan of North Carolina (DIPNC), a cost-sharing, multiple-employer defined benefit plan, to the eligible members of TSERS which includes employees of the State, the University of North Carolina </w:t>
      </w:r>
      <w:r w:rsidR="00CA53DD" w:rsidRPr="00E039B2">
        <w:rPr>
          <w:rFonts w:ascii="Arial" w:eastAsia="Times New Roman" w:hAnsi="Arial" w:cs="Arial"/>
        </w:rPr>
        <w:t>S</w:t>
      </w:r>
      <w:r w:rsidRPr="00E039B2">
        <w:rPr>
          <w:rFonts w:ascii="Arial" w:eastAsia="Times New Roman" w:hAnsi="Arial" w:cs="Arial"/>
        </w:rPr>
        <w:t>ystem, community colleges, certain participating component units, LEAs which are not part of the reporting entity, and the University Employees’ ORP. By statute, DIPNC is administered by the Department of State Treasurer and the Board of Trustees of TSERS.</w:t>
      </w:r>
      <w:r w:rsidRPr="00E039B2">
        <w:rPr>
          <w:rFonts w:ascii="Arial" w:eastAsia="Times New Roman" w:hAnsi="Arial" w:cs="Arial"/>
          <w:b/>
          <w:color w:val="0000FF"/>
        </w:rPr>
        <w:t xml:space="preserve"> </w:t>
      </w:r>
    </w:p>
    <w:p w14:paraId="1F5DD3AC" w14:textId="77777777" w:rsidR="00127C4F" w:rsidRPr="00E039B2" w:rsidRDefault="00127C4F" w:rsidP="00AA200E">
      <w:pPr>
        <w:tabs>
          <w:tab w:val="left" w:pos="1560"/>
        </w:tabs>
        <w:spacing w:after="240" w:line="240" w:lineRule="auto"/>
        <w:ind w:left="2250"/>
        <w:contextualSpacing/>
        <w:jc w:val="both"/>
        <w:rPr>
          <w:rFonts w:ascii="Arial" w:eastAsia="Times New Roman" w:hAnsi="Arial" w:cs="Arial"/>
        </w:rPr>
      </w:pPr>
    </w:p>
    <w:p w14:paraId="4C3F126B" w14:textId="77777777" w:rsidR="00AA200E" w:rsidRPr="00E039B2" w:rsidRDefault="00AA200E" w:rsidP="00AA200E">
      <w:pPr>
        <w:spacing w:after="240" w:line="240" w:lineRule="auto"/>
        <w:ind w:left="2250"/>
        <w:jc w:val="both"/>
        <w:rPr>
          <w:rFonts w:ascii="Arial" w:hAnsi="Arial" w:cs="Arial"/>
        </w:rPr>
      </w:pPr>
      <w:r w:rsidRPr="00E039B2">
        <w:rPr>
          <w:rFonts w:ascii="Arial" w:hAnsi="Arial" w:cs="Arial"/>
          <w:i/>
        </w:rPr>
        <w:lastRenderedPageBreak/>
        <w:t>Benefits Provided:</w:t>
      </w:r>
      <w:r w:rsidRPr="00E039B2">
        <w:rPr>
          <w:rFonts w:ascii="Arial" w:hAnsi="Arial" w:cs="Arial"/>
        </w:rPr>
        <w:t xml:space="preserve"> Long-term disability benefits are payable as an OPEB from DIPNC after the conclusion of the short-term disability period or after salary continuation payments cease, whichever is later, for as long as an employee is disabled. An employee is eligible to receive long-term disability benefits provided the following requirements are met: (1) the employee has five or more years of contributing membership service in TSERS or the University Employees’ ORP, earned within 96 months prior to the end of the short-term disability period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An employee is eligible to receive an unreduced retirement benefit from TSERS after (1) reaching the age of 65 and completing five years of membership service, or (2) reaching the age of 60 and completing 25 years of creditable service, or (3) completing 30 years of creditable service, at any age. </w:t>
      </w:r>
    </w:p>
    <w:p w14:paraId="2AB27601" w14:textId="77777777" w:rsidR="00AA200E" w:rsidRPr="00E039B2" w:rsidRDefault="00AA200E" w:rsidP="00AA200E">
      <w:pPr>
        <w:spacing w:after="240" w:line="240" w:lineRule="auto"/>
        <w:ind w:left="2250"/>
        <w:jc w:val="both"/>
        <w:rPr>
          <w:rFonts w:ascii="Arial" w:hAnsi="Arial" w:cs="Arial"/>
        </w:rPr>
      </w:pPr>
      <w:r w:rsidRPr="00E039B2">
        <w:rPr>
          <w:rFonts w:ascii="Arial" w:hAnsi="Arial" w:cs="Arial"/>
        </w:rPr>
        <w:t>For employees who had five or more years of membership service as of July 31, 2007, during the first 36 months of the long-term disability period, the monthly long-term disability benefit is equal to 65% of one-twelfth of an employee’s annual base rate of 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University</w:t>
      </w:r>
      <w:r w:rsidRPr="00E039B2">
        <w:rPr>
          <w:rFonts w:ascii="Arial" w:hAnsi="Arial" w:cs="Arial"/>
          <w:strike/>
        </w:rPr>
        <w:t xml:space="preserve"> </w:t>
      </w:r>
      <w:r w:rsidRPr="00E039B2">
        <w:rPr>
          <w:rFonts w:ascii="Arial" w:hAnsi="Arial" w:cs="Arial"/>
        </w:rPr>
        <w:t xml:space="preserve">Employees’ ORP. </w:t>
      </w:r>
    </w:p>
    <w:p w14:paraId="1B65C3C1" w14:textId="77777777" w:rsidR="00AA200E" w:rsidRPr="00E039B2" w:rsidRDefault="00AA200E" w:rsidP="00AA200E">
      <w:pPr>
        <w:spacing w:after="240" w:line="240" w:lineRule="auto"/>
        <w:ind w:left="2250"/>
        <w:jc w:val="both"/>
        <w:rPr>
          <w:rFonts w:ascii="Arial" w:hAnsi="Arial" w:cs="Arial"/>
        </w:rPr>
      </w:pPr>
      <w:r w:rsidRPr="00E039B2">
        <w:rPr>
          <w:rFonts w:ascii="Arial" w:hAnsi="Arial" w:cs="Arial"/>
        </w:rPr>
        <w:t xml:space="preserve">For employees who had less than five years of membership service as of July 31, 2007, and meet the requirements for long-term disability on or after August 1, 2007, during the first 36 months of the long-term </w:t>
      </w:r>
      <w:r w:rsidRPr="00E039B2">
        <w:rPr>
          <w:rFonts w:ascii="Arial" w:hAnsi="Arial" w:cs="Arial"/>
        </w:rPr>
        <w:lastRenderedPageBreak/>
        <w:t xml:space="preserve">disability period, the monthly long-term benefit shall be reduced by an amount equal to the monthly primary Social Security retirement benefit to which the employee might be entitled should the employee become age 62 during the first 36 months. This reduction becomes effective as of the first day of the month following the month of initial entitlement to Social Security benefits. After the first 36 months of the long-term disability, no further benefits are payable under the terms of this section unless the employee has been approved and is in receipt of primary Social Security disability benefits. </w:t>
      </w:r>
    </w:p>
    <w:p w14:paraId="2A139037" w14:textId="2EDA3A62" w:rsidR="00AA200E" w:rsidRPr="00E039B2" w:rsidRDefault="00AA200E" w:rsidP="00AA200E">
      <w:pPr>
        <w:tabs>
          <w:tab w:val="left" w:pos="1560"/>
        </w:tabs>
        <w:spacing w:after="240" w:line="240" w:lineRule="auto"/>
        <w:ind w:left="2250"/>
        <w:contextualSpacing/>
        <w:jc w:val="both"/>
        <w:rPr>
          <w:rFonts w:ascii="Arial" w:eastAsia="Times New Roman" w:hAnsi="Arial" w:cs="Arial"/>
        </w:rPr>
      </w:pPr>
      <w:r w:rsidRPr="00E039B2">
        <w:rPr>
          <w:rFonts w:ascii="Arial" w:eastAsia="Times New Roman" w:hAnsi="Arial" w:cs="Arial"/>
          <w:i/>
        </w:rPr>
        <w:t>Contributions:</w:t>
      </w:r>
      <w:r w:rsidRPr="00E039B2">
        <w:rPr>
          <w:rFonts w:ascii="Arial" w:eastAsia="Times New Roman" w:hAnsi="Arial" w:cs="Arial"/>
        </w:rPr>
        <w:t xml:space="preserve"> Although DIPNC operates on a calendar year, disability income benefits are funded by actuarially determined employer contributions that are established in the Appropriations Bill by the North Carolina General Assembly and coincide with the State’s fiscal year. The Department’s contractually-required contribution rate for the year ended June 30, </w:t>
      </w:r>
      <w:r w:rsidRPr="00E039B2">
        <w:rPr>
          <w:rFonts w:ascii="Arial" w:eastAsia="Times New Roman" w:hAnsi="Arial" w:cs="Arial"/>
          <w:highlight w:val="yellow"/>
        </w:rPr>
        <w:t>2020</w:t>
      </w:r>
      <w:r w:rsidRPr="00E039B2">
        <w:rPr>
          <w:rFonts w:ascii="Arial" w:eastAsia="Times New Roman" w:hAnsi="Arial" w:cs="Arial"/>
        </w:rPr>
        <w:t xml:space="preserve"> was </w:t>
      </w:r>
      <w:r w:rsidRPr="00E039B2">
        <w:rPr>
          <w:rFonts w:ascii="Arial" w:eastAsia="Times New Roman" w:hAnsi="Arial" w:cs="Arial"/>
          <w:highlight w:val="yellow"/>
        </w:rPr>
        <w:t>0.10%</w:t>
      </w:r>
      <w:r w:rsidRPr="00E039B2">
        <w:rPr>
          <w:rFonts w:ascii="Arial" w:eastAsia="Times New Roman" w:hAnsi="Arial" w:cs="Arial"/>
          <w:b/>
          <w:color w:val="FF0000"/>
        </w:rPr>
        <w:t xml:space="preserve"> </w:t>
      </w:r>
      <w:r w:rsidRPr="00E039B2">
        <w:rPr>
          <w:rFonts w:ascii="Arial" w:eastAsia="Times New Roman" w:hAnsi="Arial" w:cs="Arial"/>
        </w:rPr>
        <w:t xml:space="preserve">of covered payroll. The Department’s contributions to DIPNC were $________ for the year ended June 30, </w:t>
      </w:r>
      <w:r w:rsidRPr="00E039B2">
        <w:rPr>
          <w:rFonts w:ascii="Arial" w:eastAsia="Times New Roman" w:hAnsi="Arial" w:cs="Arial"/>
          <w:highlight w:val="yellow"/>
        </w:rPr>
        <w:t>2020</w:t>
      </w:r>
      <w:r w:rsidRPr="00E039B2">
        <w:rPr>
          <w:rFonts w:ascii="Arial" w:eastAsia="Times New Roman" w:hAnsi="Arial" w:cs="Arial"/>
        </w:rPr>
        <w:t xml:space="preserve">. </w:t>
      </w:r>
      <w:r w:rsidRPr="00E039B2">
        <w:rPr>
          <w:rFonts w:ascii="Arial" w:eastAsia="Times New Roman" w:hAnsi="Arial" w:cs="Arial"/>
          <w:highlight w:val="yellow"/>
        </w:rPr>
        <w:t>Of this amount</w:t>
      </w:r>
      <w:r w:rsidRPr="00E039B2">
        <w:rPr>
          <w:rFonts w:ascii="Arial" w:eastAsia="Times New Roman" w:hAnsi="Arial" w:cs="Arial"/>
        </w:rPr>
        <w:t xml:space="preserve">, the </w:t>
      </w:r>
      <w:r w:rsidRPr="00E039B2">
        <w:rPr>
          <w:rFonts w:ascii="Arial" w:eastAsia="Times New Roman" w:hAnsi="Arial" w:cs="Arial"/>
          <w:color w:val="0000FF"/>
        </w:rPr>
        <w:t xml:space="preserve">component unit/proprietary funds </w:t>
      </w:r>
      <w:r w:rsidRPr="00E039B2">
        <w:rPr>
          <w:rFonts w:ascii="Arial" w:eastAsia="Times New Roman" w:hAnsi="Arial" w:cs="Arial"/>
        </w:rPr>
        <w:t xml:space="preserve">contributed $_______. </w:t>
      </w:r>
      <w:r w:rsidRPr="00E039B2">
        <w:rPr>
          <w:rFonts w:ascii="Arial" w:eastAsia="Calibri" w:hAnsi="Arial" w:cs="Arial"/>
          <w:b/>
          <w:i/>
          <w:color w:val="0000FF"/>
        </w:rPr>
        <w:t>[Remove reference to proprietary funds if not applicable.]</w:t>
      </w:r>
    </w:p>
    <w:p w14:paraId="4B90644C" w14:textId="77777777" w:rsidR="00AA200E" w:rsidRPr="00E039B2" w:rsidRDefault="00AA200E" w:rsidP="00AA200E">
      <w:pPr>
        <w:tabs>
          <w:tab w:val="left" w:pos="1560"/>
        </w:tabs>
        <w:spacing w:after="240" w:line="240" w:lineRule="auto"/>
        <w:ind w:left="2052"/>
        <w:contextualSpacing/>
        <w:jc w:val="both"/>
        <w:rPr>
          <w:rFonts w:ascii="Arial" w:eastAsia="Times New Roman" w:hAnsi="Arial" w:cs="Arial"/>
          <w:b/>
        </w:rPr>
      </w:pPr>
    </w:p>
    <w:p w14:paraId="7D649B09" w14:textId="77777777" w:rsidR="00AA200E" w:rsidRPr="00E039B2" w:rsidRDefault="00AA200E" w:rsidP="00AA200E">
      <w:pPr>
        <w:numPr>
          <w:ilvl w:val="0"/>
          <w:numId w:val="35"/>
        </w:numPr>
        <w:tabs>
          <w:tab w:val="left" w:pos="1560"/>
        </w:tabs>
        <w:spacing w:after="240" w:line="240" w:lineRule="auto"/>
        <w:ind w:left="1886" w:hanging="446"/>
        <w:contextualSpacing/>
        <w:jc w:val="both"/>
        <w:rPr>
          <w:rFonts w:ascii="Arial" w:eastAsia="Times New Roman" w:hAnsi="Arial" w:cs="Arial"/>
          <w:b/>
        </w:rPr>
      </w:pPr>
      <w:r w:rsidRPr="00E039B2">
        <w:rPr>
          <w:rFonts w:ascii="Arial" w:eastAsia="Times New Roman" w:hAnsi="Arial" w:cs="Arial"/>
          <w:b/>
        </w:rPr>
        <w:t>Net OPEB Liability (Asset)</w:t>
      </w:r>
    </w:p>
    <w:p w14:paraId="179CA9E6" w14:textId="77777777" w:rsidR="00AA200E" w:rsidRPr="00E039B2" w:rsidRDefault="00AA200E" w:rsidP="00AA200E">
      <w:pPr>
        <w:tabs>
          <w:tab w:val="left" w:pos="1560"/>
        </w:tabs>
        <w:spacing w:after="240" w:line="240" w:lineRule="auto"/>
        <w:ind w:left="1572"/>
        <w:contextualSpacing/>
        <w:jc w:val="both"/>
        <w:rPr>
          <w:rFonts w:ascii="Arial" w:eastAsia="Times New Roman" w:hAnsi="Arial" w:cs="Arial"/>
          <w:b/>
        </w:rPr>
      </w:pPr>
    </w:p>
    <w:p w14:paraId="702E9952" w14:textId="2C345AE2" w:rsidR="00AA200E" w:rsidRPr="00E039B2" w:rsidRDefault="00AA200E" w:rsidP="00AA200E">
      <w:pPr>
        <w:tabs>
          <w:tab w:val="left" w:pos="1440"/>
        </w:tabs>
        <w:spacing w:after="240" w:line="240" w:lineRule="auto"/>
        <w:ind w:left="1915"/>
        <w:contextualSpacing/>
        <w:jc w:val="both"/>
        <w:rPr>
          <w:rFonts w:ascii="Arial" w:eastAsia="Times New Roman" w:hAnsi="Arial" w:cs="Arial"/>
        </w:rPr>
      </w:pPr>
      <w:r w:rsidRPr="00E039B2">
        <w:rPr>
          <w:rFonts w:ascii="Arial" w:eastAsia="Times New Roman" w:hAnsi="Arial" w:cs="Arial"/>
          <w:i/>
        </w:rPr>
        <w:t>Net OPEB Liability:</w:t>
      </w:r>
      <w:r w:rsidRPr="00E039B2">
        <w:rPr>
          <w:rFonts w:ascii="Arial" w:eastAsia="Times New Roman" w:hAnsi="Arial" w:cs="Arial"/>
        </w:rPr>
        <w:t xml:space="preserve"> At June 30, </w:t>
      </w:r>
      <w:r w:rsidRPr="00E039B2">
        <w:rPr>
          <w:rFonts w:ascii="Arial" w:eastAsia="Times New Roman" w:hAnsi="Arial" w:cs="Arial"/>
          <w:highlight w:val="yellow"/>
        </w:rPr>
        <w:t>2020</w:t>
      </w:r>
      <w:r w:rsidRPr="00E039B2">
        <w:rPr>
          <w:rFonts w:ascii="Arial" w:eastAsia="Times New Roman" w:hAnsi="Arial" w:cs="Arial"/>
        </w:rPr>
        <w:t xml:space="preserve">, the Department reported a liability of $_________ for its proportionate share of the collective net OPEB liability for RHBF. </w:t>
      </w:r>
      <w:r w:rsidRPr="00E039B2">
        <w:rPr>
          <w:rFonts w:ascii="Arial" w:eastAsia="Times New Roman" w:hAnsi="Arial" w:cs="Arial"/>
          <w:highlight w:val="yellow"/>
        </w:rPr>
        <w:t>Of this amount,</w:t>
      </w:r>
      <w:r w:rsidRPr="00E039B2">
        <w:rPr>
          <w:rFonts w:ascii="Arial" w:eastAsia="Times New Roman" w:hAnsi="Arial" w:cs="Arial"/>
        </w:rPr>
        <w:t xml:space="preserve"> the </w:t>
      </w:r>
      <w:r w:rsidRPr="00E039B2">
        <w:rPr>
          <w:rFonts w:ascii="Arial" w:eastAsia="Times New Roman" w:hAnsi="Arial" w:cs="Arial"/>
          <w:color w:val="0000FF"/>
        </w:rPr>
        <w:t>[component unit/proprietary funds]</w:t>
      </w:r>
      <w:r w:rsidRPr="00E039B2">
        <w:rPr>
          <w:rFonts w:ascii="Arial" w:eastAsia="Times New Roman" w:hAnsi="Arial" w:cs="Arial"/>
        </w:rPr>
        <w:t xml:space="preserve"> reported $________. </w:t>
      </w:r>
      <w:r w:rsidRPr="00E039B2">
        <w:rPr>
          <w:rFonts w:ascii="Arial" w:eastAsia="Calibri" w:hAnsi="Arial" w:cs="Arial"/>
          <w:b/>
          <w:color w:val="0000FF"/>
        </w:rPr>
        <w:t xml:space="preserve">[Remove reference to proprietary funds if not applicable.] </w:t>
      </w:r>
      <w:r w:rsidRPr="00E039B2">
        <w:rPr>
          <w:rFonts w:ascii="Arial" w:eastAsia="Times New Roman" w:hAnsi="Arial" w:cs="Arial"/>
        </w:rPr>
        <w:t xml:space="preserve">The net OPEB liability was measured as of June 30, </w:t>
      </w:r>
      <w:r w:rsidRPr="00E039B2">
        <w:rPr>
          <w:rFonts w:ascii="Arial" w:eastAsia="Times New Roman" w:hAnsi="Arial" w:cs="Arial"/>
          <w:highlight w:val="yellow"/>
        </w:rPr>
        <w:t>2019</w:t>
      </w:r>
      <w:r w:rsidRPr="00E039B2">
        <w:rPr>
          <w:rFonts w:ascii="Arial" w:eastAsia="Times New Roman" w:hAnsi="Arial" w:cs="Arial"/>
        </w:rPr>
        <w:t xml:space="preserve">. The total OPEB liability used to calculate the net OPEB liability was determined by an actuarial valuation as of December 31, </w:t>
      </w:r>
      <w:r w:rsidRPr="00E039B2">
        <w:rPr>
          <w:rFonts w:ascii="Arial" w:eastAsia="Times New Roman" w:hAnsi="Arial" w:cs="Arial"/>
          <w:highlight w:val="yellow"/>
        </w:rPr>
        <w:t>2018</w:t>
      </w:r>
      <w:r w:rsidRPr="00E039B2">
        <w:rPr>
          <w:rFonts w:ascii="Arial" w:eastAsia="Times New Roman" w:hAnsi="Arial" w:cs="Arial"/>
        </w:rPr>
        <w:t xml:space="preserve">, and update procedures were used to roll forward the total OPEB liability to June 30, </w:t>
      </w:r>
      <w:r w:rsidRPr="00E039B2">
        <w:rPr>
          <w:rFonts w:ascii="Arial" w:eastAsia="Times New Roman" w:hAnsi="Arial" w:cs="Arial"/>
          <w:highlight w:val="yellow"/>
        </w:rPr>
        <w:t>2019</w:t>
      </w:r>
      <w:r w:rsidRPr="00E039B2">
        <w:rPr>
          <w:rFonts w:ascii="Arial" w:eastAsia="Times New Roman" w:hAnsi="Arial" w:cs="Arial"/>
        </w:rPr>
        <w:t xml:space="preserve">. The Department’s proportion of the net OPEB liability was based on the present value of future salaries for the Department relative to the present value of future salaries for all participating employers, actuarially-determined. As of June 30, </w:t>
      </w:r>
      <w:r w:rsidRPr="00E039B2">
        <w:rPr>
          <w:rFonts w:ascii="Arial" w:eastAsia="Times New Roman" w:hAnsi="Arial" w:cs="Arial"/>
          <w:highlight w:val="yellow"/>
        </w:rPr>
        <w:t>2019</w:t>
      </w:r>
      <w:r w:rsidRPr="00E039B2">
        <w:rPr>
          <w:rFonts w:ascii="Arial" w:eastAsia="Times New Roman" w:hAnsi="Arial" w:cs="Arial"/>
        </w:rPr>
        <w:t>, the Department’s proportion was ________%,</w:t>
      </w:r>
      <w:r w:rsidRPr="00E039B2">
        <w:rPr>
          <w:rFonts w:ascii="Arial" w:eastAsia="Times New Roman" w:hAnsi="Arial" w:cs="Arial"/>
          <w:b/>
          <w:color w:val="0000FF"/>
        </w:rPr>
        <w:t xml:space="preserve"> </w:t>
      </w:r>
      <w:r w:rsidRPr="00E039B2">
        <w:rPr>
          <w:rFonts w:ascii="Arial" w:eastAsia="Times New Roman" w:hAnsi="Arial" w:cs="Arial"/>
        </w:rPr>
        <w:t>which was an</w:t>
      </w:r>
      <w:r w:rsidRPr="00E039B2">
        <w:rPr>
          <w:rFonts w:ascii="Arial" w:eastAsia="Times New Roman" w:hAnsi="Arial" w:cs="Arial"/>
          <w:color w:val="0000FF"/>
        </w:rPr>
        <w:t xml:space="preserve"> [increase/decrease]</w:t>
      </w:r>
      <w:r w:rsidRPr="00E039B2">
        <w:rPr>
          <w:rFonts w:ascii="Arial" w:eastAsia="Times New Roman" w:hAnsi="Arial" w:cs="Arial"/>
        </w:rPr>
        <w:t xml:space="preserve"> of _______ from its proportion measured as of June 30, </w:t>
      </w:r>
      <w:r w:rsidRPr="00E039B2">
        <w:rPr>
          <w:rFonts w:ascii="Arial" w:eastAsia="Times New Roman" w:hAnsi="Arial" w:cs="Arial"/>
          <w:highlight w:val="yellow"/>
        </w:rPr>
        <w:t>2018</w:t>
      </w:r>
      <w:r w:rsidRPr="00E039B2">
        <w:rPr>
          <w:rFonts w:ascii="Arial" w:eastAsia="Times New Roman" w:hAnsi="Arial" w:cs="Arial"/>
        </w:rPr>
        <w:t xml:space="preserve">, which was _______%. </w:t>
      </w:r>
      <w:r w:rsidRPr="00E039B2">
        <w:rPr>
          <w:rFonts w:ascii="Arial" w:eastAsia="Times New Roman" w:hAnsi="Arial" w:cs="Arial"/>
          <w:highlight w:val="yellow"/>
        </w:rPr>
        <w:t>Of this amount,</w:t>
      </w:r>
      <w:r w:rsidRPr="00E039B2">
        <w:rPr>
          <w:rFonts w:ascii="Arial" w:eastAsia="Times New Roman" w:hAnsi="Arial" w:cs="Arial"/>
        </w:rPr>
        <w:t xml:space="preserve"> the </w:t>
      </w:r>
      <w:r w:rsidRPr="00E039B2">
        <w:rPr>
          <w:rFonts w:ascii="Arial" w:eastAsia="Times New Roman" w:hAnsi="Arial" w:cs="Arial"/>
          <w:color w:val="0000FF"/>
        </w:rPr>
        <w:t>[component unit’s/proprietary funds’]</w:t>
      </w:r>
      <w:r w:rsidRPr="00E039B2">
        <w:rPr>
          <w:rFonts w:ascii="Arial" w:eastAsia="Times New Roman" w:hAnsi="Arial" w:cs="Arial"/>
        </w:rPr>
        <w:t xml:space="preserve"> share was _______%, which was an </w:t>
      </w:r>
      <w:r w:rsidRPr="00E039B2">
        <w:rPr>
          <w:rFonts w:ascii="Arial" w:eastAsia="Times New Roman" w:hAnsi="Arial" w:cs="Arial"/>
          <w:color w:val="0000FF"/>
        </w:rPr>
        <w:t>[increase/decrease]</w:t>
      </w:r>
      <w:r w:rsidRPr="00E039B2">
        <w:rPr>
          <w:rFonts w:ascii="Arial" w:eastAsia="Times New Roman" w:hAnsi="Arial" w:cs="Arial"/>
        </w:rPr>
        <w:t xml:space="preserve"> of _______ from its proportion measured as of June 30, </w:t>
      </w:r>
      <w:r w:rsidRPr="00E039B2">
        <w:rPr>
          <w:rFonts w:ascii="Arial" w:eastAsia="Times New Roman" w:hAnsi="Arial" w:cs="Arial"/>
          <w:highlight w:val="yellow"/>
        </w:rPr>
        <w:t>2018</w:t>
      </w:r>
      <w:r w:rsidRPr="00E039B2">
        <w:rPr>
          <w:rFonts w:ascii="Arial" w:eastAsia="Times New Roman" w:hAnsi="Arial" w:cs="Arial"/>
        </w:rPr>
        <w:t xml:space="preserve">, which was ________%. </w:t>
      </w:r>
      <w:r w:rsidRPr="00E039B2">
        <w:rPr>
          <w:rFonts w:ascii="Arial" w:eastAsia="Calibri" w:hAnsi="Arial" w:cs="Arial"/>
          <w:b/>
          <w:color w:val="0000FF"/>
        </w:rPr>
        <w:t>[Remove if not applicable.]</w:t>
      </w:r>
    </w:p>
    <w:p w14:paraId="46BCC48B" w14:textId="77777777" w:rsidR="00AA200E" w:rsidRPr="00E039B2" w:rsidRDefault="00AA200E" w:rsidP="00AA200E">
      <w:pPr>
        <w:tabs>
          <w:tab w:val="left" w:pos="1440"/>
        </w:tabs>
        <w:spacing w:after="240" w:line="240" w:lineRule="auto"/>
        <w:ind w:left="1886"/>
        <w:contextualSpacing/>
        <w:jc w:val="both"/>
        <w:rPr>
          <w:rFonts w:ascii="Arial" w:eastAsia="Times New Roman" w:hAnsi="Arial" w:cs="Arial"/>
        </w:rPr>
      </w:pPr>
    </w:p>
    <w:p w14:paraId="52CCD5BF" w14:textId="6D78921F" w:rsidR="00AA200E" w:rsidRPr="00E039B2" w:rsidRDefault="00AA200E" w:rsidP="00AA200E">
      <w:pPr>
        <w:tabs>
          <w:tab w:val="left" w:pos="1440"/>
        </w:tabs>
        <w:spacing w:after="240" w:line="240" w:lineRule="auto"/>
        <w:ind w:left="1915"/>
        <w:contextualSpacing/>
        <w:jc w:val="both"/>
        <w:rPr>
          <w:rFonts w:ascii="Arial" w:eastAsia="Times New Roman" w:hAnsi="Arial" w:cs="Arial"/>
        </w:rPr>
      </w:pPr>
      <w:r w:rsidRPr="00E039B2">
        <w:rPr>
          <w:rFonts w:ascii="Arial" w:eastAsia="Times New Roman" w:hAnsi="Arial" w:cs="Arial"/>
          <w:i/>
        </w:rPr>
        <w:t>Net OPEB Asset:</w:t>
      </w:r>
      <w:r w:rsidRPr="00E039B2">
        <w:rPr>
          <w:rFonts w:ascii="Arial" w:eastAsia="Times New Roman" w:hAnsi="Arial" w:cs="Arial"/>
        </w:rPr>
        <w:t xml:space="preserve"> At June 30,</w:t>
      </w:r>
      <w:r w:rsidR="003C24F6" w:rsidRPr="003C24F6">
        <w:rPr>
          <w:rFonts w:ascii="Arial" w:eastAsia="Times New Roman" w:hAnsi="Arial" w:cs="Arial"/>
        </w:rPr>
        <w:t xml:space="preserve"> </w:t>
      </w:r>
      <w:r w:rsidRPr="00E039B2">
        <w:rPr>
          <w:rFonts w:ascii="Arial" w:eastAsia="Times New Roman" w:hAnsi="Arial" w:cs="Arial"/>
          <w:highlight w:val="yellow"/>
        </w:rPr>
        <w:t>2020</w:t>
      </w:r>
      <w:r w:rsidRPr="00E039B2">
        <w:rPr>
          <w:rFonts w:ascii="Arial" w:eastAsia="Times New Roman" w:hAnsi="Arial" w:cs="Arial"/>
        </w:rPr>
        <w:t>, the Department reported an asset of $________ for its proportionate share of the collective net OPEB asset for DIPNC.</w:t>
      </w:r>
      <w:r w:rsidRPr="00E039B2" w:rsidDel="00863760">
        <w:rPr>
          <w:rFonts w:ascii="Arial" w:eastAsia="Times New Roman" w:hAnsi="Arial" w:cs="Arial"/>
        </w:rPr>
        <w:t xml:space="preserve"> </w:t>
      </w:r>
      <w:r w:rsidRPr="00E039B2">
        <w:rPr>
          <w:rFonts w:ascii="Arial" w:eastAsia="Times New Roman" w:hAnsi="Arial" w:cs="Arial"/>
          <w:highlight w:val="yellow"/>
        </w:rPr>
        <w:t>Of this amount,</w:t>
      </w:r>
      <w:r w:rsidRPr="00E039B2">
        <w:rPr>
          <w:rFonts w:ascii="Arial" w:eastAsia="Times New Roman" w:hAnsi="Arial" w:cs="Arial"/>
        </w:rPr>
        <w:t xml:space="preserve"> the </w:t>
      </w:r>
      <w:r w:rsidRPr="00E039B2">
        <w:rPr>
          <w:rFonts w:ascii="Arial" w:eastAsia="Times New Roman" w:hAnsi="Arial" w:cs="Arial"/>
          <w:color w:val="0000FF"/>
        </w:rPr>
        <w:t>[component unit/proprietary funds]</w:t>
      </w:r>
      <w:r w:rsidRPr="00E039B2">
        <w:rPr>
          <w:rFonts w:ascii="Arial" w:eastAsia="Times New Roman" w:hAnsi="Arial" w:cs="Arial"/>
        </w:rPr>
        <w:t xml:space="preserve"> reported $______. </w:t>
      </w:r>
      <w:r w:rsidRPr="00E039B2">
        <w:rPr>
          <w:rFonts w:ascii="Arial" w:eastAsia="Calibri" w:hAnsi="Arial" w:cs="Arial"/>
          <w:b/>
          <w:color w:val="0000FF"/>
        </w:rPr>
        <w:t xml:space="preserve">[Remove reference to proprietary funds if not applicable.] </w:t>
      </w:r>
      <w:r w:rsidRPr="00E039B2">
        <w:rPr>
          <w:rFonts w:ascii="Arial" w:eastAsia="Times New Roman" w:hAnsi="Arial" w:cs="Arial"/>
        </w:rPr>
        <w:t xml:space="preserve">The net OPEB asset was measured as of June 30, </w:t>
      </w:r>
      <w:r w:rsidRPr="00E039B2">
        <w:rPr>
          <w:rFonts w:ascii="Arial" w:eastAsia="Times New Roman" w:hAnsi="Arial" w:cs="Arial"/>
          <w:highlight w:val="yellow"/>
        </w:rPr>
        <w:t>2019</w:t>
      </w:r>
      <w:r w:rsidRPr="00E039B2">
        <w:rPr>
          <w:rFonts w:ascii="Arial" w:eastAsia="Times New Roman" w:hAnsi="Arial" w:cs="Arial"/>
        </w:rPr>
        <w:t xml:space="preserve">. The total OPEB </w:t>
      </w:r>
      <w:r w:rsidRPr="00E039B2">
        <w:rPr>
          <w:rFonts w:ascii="Arial" w:eastAsia="Times New Roman" w:hAnsi="Arial" w:cs="Arial"/>
          <w:highlight w:val="yellow"/>
        </w:rPr>
        <w:t>liability</w:t>
      </w:r>
      <w:r w:rsidRPr="00E039B2">
        <w:rPr>
          <w:rFonts w:ascii="Arial" w:eastAsia="Times New Roman" w:hAnsi="Arial" w:cs="Arial"/>
        </w:rPr>
        <w:t xml:space="preserve"> used to calculate the net OPEB asset was determined by an actuarial valuation as of December 31, </w:t>
      </w:r>
      <w:r w:rsidRPr="00E039B2">
        <w:rPr>
          <w:rFonts w:ascii="Arial" w:eastAsia="Times New Roman" w:hAnsi="Arial" w:cs="Arial"/>
          <w:highlight w:val="yellow"/>
        </w:rPr>
        <w:t>2018</w:t>
      </w:r>
      <w:r w:rsidRPr="00E039B2">
        <w:rPr>
          <w:rFonts w:ascii="Arial" w:eastAsia="Times New Roman" w:hAnsi="Arial" w:cs="Arial"/>
        </w:rPr>
        <w:t xml:space="preserve">, and update procedures were used to roll forward the total OPEB </w:t>
      </w:r>
      <w:r w:rsidRPr="00E039B2">
        <w:rPr>
          <w:rFonts w:ascii="Arial" w:eastAsia="Times New Roman" w:hAnsi="Arial" w:cs="Arial"/>
          <w:highlight w:val="yellow"/>
        </w:rPr>
        <w:t>liability</w:t>
      </w:r>
      <w:r w:rsidRPr="00E039B2">
        <w:rPr>
          <w:rFonts w:ascii="Arial" w:eastAsia="Times New Roman" w:hAnsi="Arial" w:cs="Arial"/>
        </w:rPr>
        <w:t xml:space="preserve"> to June 30, </w:t>
      </w:r>
      <w:r w:rsidRPr="00E039B2">
        <w:rPr>
          <w:rFonts w:ascii="Arial" w:eastAsia="Times New Roman" w:hAnsi="Arial" w:cs="Arial"/>
          <w:highlight w:val="yellow"/>
        </w:rPr>
        <w:t>2019</w:t>
      </w:r>
      <w:r w:rsidRPr="00E039B2">
        <w:rPr>
          <w:rFonts w:ascii="Arial" w:eastAsia="Times New Roman" w:hAnsi="Arial" w:cs="Arial"/>
        </w:rPr>
        <w:t xml:space="preserve">. The Department’s proportion of the net OPEB asset was based on the present </w:t>
      </w:r>
      <w:r w:rsidRPr="00E039B2">
        <w:rPr>
          <w:rFonts w:ascii="Arial" w:eastAsia="Times New Roman" w:hAnsi="Arial" w:cs="Arial"/>
        </w:rPr>
        <w:lastRenderedPageBreak/>
        <w:t xml:space="preserve">value of future salaries for the Department relative to the present value of future salaries for all participating employers, actuarially-determined. As of June 30, </w:t>
      </w:r>
      <w:r w:rsidRPr="00E039B2">
        <w:rPr>
          <w:rFonts w:ascii="Arial" w:eastAsia="Times New Roman" w:hAnsi="Arial" w:cs="Arial"/>
          <w:highlight w:val="yellow"/>
        </w:rPr>
        <w:t>2019</w:t>
      </w:r>
      <w:r w:rsidRPr="00E039B2">
        <w:rPr>
          <w:rFonts w:ascii="Arial" w:eastAsia="Times New Roman" w:hAnsi="Arial" w:cs="Arial"/>
        </w:rPr>
        <w:t xml:space="preserve">, the Department’s proportion was _______%, which was an </w:t>
      </w:r>
      <w:r w:rsidRPr="00E039B2">
        <w:rPr>
          <w:rFonts w:ascii="Arial" w:eastAsia="Times New Roman" w:hAnsi="Arial" w:cs="Arial"/>
          <w:color w:val="0000FF"/>
        </w:rPr>
        <w:t>[increase/decrease]</w:t>
      </w:r>
      <w:r w:rsidRPr="00E039B2">
        <w:rPr>
          <w:rFonts w:ascii="Arial" w:eastAsia="Times New Roman" w:hAnsi="Arial" w:cs="Arial"/>
        </w:rPr>
        <w:t xml:space="preserve"> of ______ from its proportion measured as of June 30, </w:t>
      </w:r>
      <w:r w:rsidRPr="00E039B2">
        <w:rPr>
          <w:rFonts w:ascii="Arial" w:eastAsia="Times New Roman" w:hAnsi="Arial" w:cs="Arial"/>
          <w:highlight w:val="yellow"/>
        </w:rPr>
        <w:t>2018</w:t>
      </w:r>
      <w:r w:rsidRPr="00E039B2">
        <w:rPr>
          <w:rFonts w:ascii="Arial" w:eastAsia="Times New Roman" w:hAnsi="Arial" w:cs="Arial"/>
        </w:rPr>
        <w:t>, which was _______%.</w:t>
      </w:r>
      <w:r w:rsidRPr="00E039B2">
        <w:rPr>
          <w:rFonts w:ascii="Arial" w:eastAsia="Times New Roman" w:hAnsi="Arial" w:cs="Arial"/>
          <w:b/>
          <w:color w:val="0000FF"/>
        </w:rPr>
        <w:t xml:space="preserve"> </w:t>
      </w:r>
      <w:r w:rsidRPr="00E039B2">
        <w:rPr>
          <w:rFonts w:ascii="Arial" w:eastAsia="Times New Roman" w:hAnsi="Arial" w:cs="Arial"/>
          <w:highlight w:val="yellow"/>
        </w:rPr>
        <w:t>Of this proportion</w:t>
      </w:r>
      <w:r w:rsidRPr="00E039B2">
        <w:rPr>
          <w:rFonts w:ascii="Arial" w:eastAsia="Times New Roman" w:hAnsi="Arial" w:cs="Arial"/>
        </w:rPr>
        <w:t xml:space="preserve">, the </w:t>
      </w:r>
      <w:r w:rsidRPr="00E039B2">
        <w:rPr>
          <w:rFonts w:ascii="Arial" w:eastAsia="Times New Roman" w:hAnsi="Arial" w:cs="Arial"/>
          <w:color w:val="0000FF"/>
        </w:rPr>
        <w:t>[component unit/proprietary funds’]</w:t>
      </w:r>
      <w:r w:rsidRPr="00E039B2">
        <w:rPr>
          <w:rFonts w:ascii="Arial" w:eastAsia="Times New Roman" w:hAnsi="Arial" w:cs="Arial"/>
        </w:rPr>
        <w:t xml:space="preserve"> share was _______%, which was an </w:t>
      </w:r>
      <w:r w:rsidRPr="00E039B2">
        <w:rPr>
          <w:rFonts w:ascii="Arial" w:eastAsia="Times New Roman" w:hAnsi="Arial" w:cs="Arial"/>
          <w:color w:val="0000FF"/>
        </w:rPr>
        <w:t>[increase/decrease]</w:t>
      </w:r>
      <w:r w:rsidRPr="00E039B2">
        <w:rPr>
          <w:rFonts w:ascii="Arial" w:eastAsia="Times New Roman" w:hAnsi="Arial" w:cs="Arial"/>
        </w:rPr>
        <w:t xml:space="preserve"> of _______ from its proportion measured as of June 30, </w:t>
      </w:r>
      <w:r w:rsidRPr="00E039B2">
        <w:rPr>
          <w:rFonts w:ascii="Arial" w:eastAsia="Times New Roman" w:hAnsi="Arial" w:cs="Arial"/>
          <w:highlight w:val="yellow"/>
        </w:rPr>
        <w:t>2018</w:t>
      </w:r>
      <w:r w:rsidRPr="00E039B2">
        <w:rPr>
          <w:rFonts w:ascii="Arial" w:eastAsia="Times New Roman" w:hAnsi="Arial" w:cs="Arial"/>
        </w:rPr>
        <w:t xml:space="preserve">, which was ________%. </w:t>
      </w:r>
      <w:r w:rsidRPr="00E039B2">
        <w:rPr>
          <w:rFonts w:ascii="Arial" w:eastAsia="Calibri" w:hAnsi="Arial" w:cs="Arial"/>
          <w:b/>
          <w:color w:val="0000FF"/>
        </w:rPr>
        <w:t>[Remove if not applicable.]</w:t>
      </w:r>
    </w:p>
    <w:p w14:paraId="1730E4A5" w14:textId="77777777" w:rsidR="00AA200E" w:rsidRPr="00E039B2" w:rsidRDefault="00AA200E" w:rsidP="00AA200E">
      <w:pPr>
        <w:tabs>
          <w:tab w:val="left" w:pos="1440"/>
        </w:tabs>
        <w:spacing w:after="240" w:line="240" w:lineRule="auto"/>
        <w:ind w:left="1886"/>
        <w:contextualSpacing/>
        <w:jc w:val="both"/>
        <w:rPr>
          <w:rFonts w:ascii="Arial" w:eastAsia="Times New Roman" w:hAnsi="Arial" w:cs="Arial"/>
        </w:rPr>
      </w:pPr>
    </w:p>
    <w:p w14:paraId="49C042C4" w14:textId="34CD0625" w:rsidR="00AA200E" w:rsidRPr="00E039B2" w:rsidRDefault="00AA200E" w:rsidP="00AA200E">
      <w:pPr>
        <w:tabs>
          <w:tab w:val="left" w:pos="1560"/>
        </w:tabs>
        <w:spacing w:after="240" w:line="240" w:lineRule="auto"/>
        <w:ind w:left="1915"/>
        <w:contextualSpacing/>
        <w:jc w:val="both"/>
        <w:rPr>
          <w:rFonts w:ascii="Arial" w:eastAsia="Times New Roman" w:hAnsi="Arial" w:cs="Arial"/>
          <w:b/>
          <w:color w:val="0000FF"/>
        </w:rPr>
      </w:pPr>
      <w:r w:rsidRPr="00E039B2">
        <w:rPr>
          <w:rFonts w:ascii="Arial" w:eastAsia="Times New Roman" w:hAnsi="Arial" w:cs="Arial"/>
          <w:i/>
        </w:rPr>
        <w:t>Actuarial Assumptions:</w:t>
      </w:r>
      <w:r w:rsidRPr="00E039B2">
        <w:rPr>
          <w:rFonts w:ascii="Arial" w:eastAsia="Times New Roman" w:hAnsi="Arial" w:cs="Arial"/>
        </w:rPr>
        <w:t xml:space="preserve"> The total OPEB liabilities for RHBF and DIPNC were determined by actuarial valuations as of December 31, </w:t>
      </w:r>
      <w:r w:rsidRPr="00E039B2">
        <w:rPr>
          <w:rFonts w:ascii="Arial" w:eastAsia="Times New Roman" w:hAnsi="Arial" w:cs="Arial"/>
          <w:highlight w:val="yellow"/>
        </w:rPr>
        <w:t>2018</w:t>
      </w:r>
      <w:r w:rsidRPr="00E039B2">
        <w:rPr>
          <w:rFonts w:ascii="Arial" w:eastAsia="Times New Roman" w:hAnsi="Arial" w:cs="Arial"/>
        </w:rPr>
        <w:t>, using the following actuarial assumptions, applied to all periods included in the measurement, unless otherwise specified. The total OPEB liabilities</w:t>
      </w:r>
      <w:r w:rsidR="003C24F6" w:rsidRPr="003C24F6">
        <w:rPr>
          <w:rFonts w:ascii="Arial" w:eastAsia="Times New Roman" w:hAnsi="Arial" w:cs="Arial"/>
        </w:rPr>
        <w:t xml:space="preserve"> </w:t>
      </w:r>
      <w:r w:rsidRPr="00E039B2">
        <w:rPr>
          <w:rFonts w:ascii="Arial" w:eastAsia="Times New Roman" w:hAnsi="Arial" w:cs="Arial"/>
        </w:rPr>
        <w:t xml:space="preserve">were then rolled forward to June 30, </w:t>
      </w:r>
      <w:r w:rsidRPr="00E039B2">
        <w:rPr>
          <w:rFonts w:ascii="Arial" w:eastAsia="Times New Roman" w:hAnsi="Arial" w:cs="Arial"/>
          <w:highlight w:val="yellow"/>
        </w:rPr>
        <w:t xml:space="preserve">2019 </w:t>
      </w:r>
      <w:r w:rsidRPr="00E039B2">
        <w:rPr>
          <w:rFonts w:ascii="Arial" w:eastAsia="Times New Roman" w:hAnsi="Arial" w:cs="Arial"/>
        </w:rPr>
        <w:t>utilizing update procedures incorporating the actuarial assumptions.</w:t>
      </w:r>
      <w:r w:rsidRPr="00E039B2">
        <w:rPr>
          <w:rFonts w:ascii="Arial" w:eastAsia="Times New Roman" w:hAnsi="Arial" w:cs="Arial"/>
          <w:b/>
          <w:color w:val="0000FF"/>
        </w:rPr>
        <w:t xml:space="preserve"> </w:t>
      </w:r>
    </w:p>
    <w:p w14:paraId="6FCE3536" w14:textId="77777777" w:rsidR="00AA200E" w:rsidRPr="00E039B2" w:rsidRDefault="00AA200E" w:rsidP="00AA200E">
      <w:pPr>
        <w:tabs>
          <w:tab w:val="left" w:pos="1560"/>
        </w:tabs>
        <w:spacing w:after="240" w:line="240" w:lineRule="auto"/>
        <w:ind w:left="1915"/>
        <w:contextualSpacing/>
        <w:jc w:val="both"/>
        <w:rPr>
          <w:rFonts w:ascii="Arial" w:eastAsia="Times New Roman" w:hAnsi="Arial" w:cs="Arial"/>
          <w:b/>
          <w:color w:val="0000FF"/>
        </w:rPr>
      </w:pPr>
    </w:p>
    <w:bookmarkStart w:id="94" w:name="_MON_1614667049"/>
    <w:bookmarkEnd w:id="94"/>
    <w:p w14:paraId="54DC5AEB" w14:textId="77777777" w:rsidR="00AA200E" w:rsidRPr="00E039B2" w:rsidRDefault="00AA200E" w:rsidP="00AA200E">
      <w:pPr>
        <w:tabs>
          <w:tab w:val="left" w:pos="1560"/>
        </w:tabs>
        <w:spacing w:after="240" w:line="240" w:lineRule="auto"/>
        <w:ind w:left="1915"/>
        <w:contextualSpacing/>
        <w:jc w:val="center"/>
        <w:rPr>
          <w:rFonts w:ascii="Arial" w:eastAsia="Times New Roman" w:hAnsi="Arial" w:cs="Arial"/>
        </w:rPr>
      </w:pPr>
      <w:r w:rsidRPr="00E039B2">
        <w:rPr>
          <w:rFonts w:ascii="Arial" w:eastAsia="Times New Roman" w:hAnsi="Arial" w:cs="Arial"/>
        </w:rPr>
        <w:object w:dxaOrig="8130" w:dyaOrig="4980" w14:anchorId="0EA0F18B">
          <v:shape id="_x0000_i1054" type="#_x0000_t75" style="width:362.25pt;height:245.25pt" o:ole="">
            <v:imagedata r:id="rId71" o:title=""/>
          </v:shape>
          <o:OLEObject Type="Embed" ProgID="Excel.Sheet.12" ShapeID="_x0000_i1054" DrawAspect="Content" ObjectID="_1661757483" r:id="rId72"/>
        </w:object>
      </w:r>
    </w:p>
    <w:p w14:paraId="2498BE6B" w14:textId="77777777" w:rsidR="00AA200E" w:rsidRPr="00E039B2" w:rsidRDefault="00AA200E" w:rsidP="00AA200E">
      <w:pPr>
        <w:tabs>
          <w:tab w:val="left" w:pos="1560"/>
        </w:tabs>
        <w:spacing w:after="0"/>
        <w:rPr>
          <w:rFonts w:ascii="Arial" w:hAnsi="Arial" w:cs="Arial"/>
          <w:b/>
        </w:rPr>
      </w:pPr>
    </w:p>
    <w:p w14:paraId="12CDC892" w14:textId="77777777" w:rsidR="00AA200E" w:rsidRPr="00E039B2" w:rsidRDefault="00AA200E" w:rsidP="00AA200E">
      <w:pPr>
        <w:spacing w:after="240" w:line="240" w:lineRule="auto"/>
        <w:ind w:left="1915"/>
        <w:jc w:val="both"/>
        <w:rPr>
          <w:rFonts w:ascii="Arial" w:hAnsi="Arial" w:cs="Arial"/>
        </w:rPr>
      </w:pPr>
      <w:r w:rsidRPr="00E039B2">
        <w:rPr>
          <w:rFonts w:ascii="Arial" w:hAnsi="Arial" w:cs="Arial"/>
        </w:rPr>
        <w:t>The OPEB plans currently use mortality tables that vary by age, gender, employee group (i.e. teacher, general, law enforcement officer) and health status (i.e. disabled and healthy). The current mortality rates are based on published tables and studies that cover significant portions of the U.S. population. The healthy mortality rates also contain a provision to reflect future mortality improvements.</w:t>
      </w:r>
      <w:r w:rsidRPr="00E039B2">
        <w:rPr>
          <w:rFonts w:ascii="Arial" w:hAnsi="Arial" w:cs="Arial"/>
          <w:b/>
          <w:color w:val="0000FF"/>
        </w:rPr>
        <w:t xml:space="preserve"> </w:t>
      </w:r>
    </w:p>
    <w:p w14:paraId="7B943744" w14:textId="6EB824ED" w:rsidR="00AA200E" w:rsidRPr="00E039B2" w:rsidRDefault="00AA200E" w:rsidP="00AA200E">
      <w:pPr>
        <w:spacing w:after="240" w:line="240" w:lineRule="auto"/>
        <w:ind w:left="1915"/>
        <w:jc w:val="both"/>
        <w:rPr>
          <w:rFonts w:ascii="Arial" w:hAnsi="Arial" w:cs="Arial"/>
        </w:rPr>
      </w:pPr>
      <w:r w:rsidRPr="00E039B2">
        <w:rPr>
          <w:rFonts w:ascii="Arial" w:hAnsi="Arial" w:cs="Arial"/>
        </w:rPr>
        <w:t xml:space="preserve">The projected long-term investment returns and inflation assumptions are developed through a review of current and historical capital markets data, sell-side investment research, consultant whitepapers, and historical performance of investment strategies. Fixed income </w:t>
      </w:r>
      <w:proofErr w:type="gramStart"/>
      <w:r w:rsidRPr="00E039B2">
        <w:rPr>
          <w:rFonts w:ascii="Arial" w:hAnsi="Arial" w:cs="Arial"/>
        </w:rPr>
        <w:t>return</w:t>
      </w:r>
      <w:proofErr w:type="gramEnd"/>
      <w:r w:rsidRPr="00E039B2">
        <w:rPr>
          <w:rFonts w:ascii="Arial" w:hAnsi="Arial" w:cs="Arial"/>
        </w:rPr>
        <w:t xml:space="preserve"> projections reflect current yields across the U.S. Treasury yield curve and market expectations of forward yields projected and interpolated for multiple tenors and over multiple year horizons. Global public equity return projects </w:t>
      </w:r>
      <w:r w:rsidRPr="00E039B2">
        <w:rPr>
          <w:rFonts w:ascii="Arial" w:hAnsi="Arial" w:cs="Arial"/>
        </w:rPr>
        <w:lastRenderedPageBreak/>
        <w:t xml:space="preserve">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 </w:t>
      </w:r>
      <w:r w:rsidRPr="00E039B2">
        <w:rPr>
          <w:rFonts w:ascii="Arial" w:hAnsi="Arial" w:cs="Arial"/>
          <w:highlight w:val="yellow"/>
        </w:rPr>
        <w:t>2019</w:t>
      </w:r>
      <w:r w:rsidRPr="00E039B2">
        <w:rPr>
          <w:rFonts w:ascii="Arial" w:hAnsi="Arial" w:cs="Arial"/>
        </w:rPr>
        <w:t>.</w:t>
      </w:r>
      <w:r w:rsidRPr="00E039B2">
        <w:rPr>
          <w:rFonts w:ascii="Arial" w:hAnsi="Arial" w:cs="Arial"/>
          <w:b/>
          <w:color w:val="0000FF"/>
        </w:rPr>
        <w:t xml:space="preserve"> </w:t>
      </w:r>
    </w:p>
    <w:p w14:paraId="00192EAF" w14:textId="79AD96BE" w:rsidR="00AA200E" w:rsidRPr="00E039B2" w:rsidRDefault="00AA200E" w:rsidP="00AA200E">
      <w:pPr>
        <w:spacing w:after="240" w:line="240" w:lineRule="auto"/>
        <w:ind w:left="1915"/>
        <w:jc w:val="both"/>
        <w:rPr>
          <w:rFonts w:ascii="Arial" w:hAnsi="Arial" w:cs="Arial"/>
        </w:rPr>
      </w:pPr>
      <w:r w:rsidRPr="00E039B2">
        <w:rPr>
          <w:rFonts w:ascii="Arial" w:hAnsi="Arial" w:cs="Arial"/>
        </w:rPr>
        <w:t xml:space="preserve">Best estimates of real rates of return for each major asset class included in RHBF’s target asset allocation as of June 30, </w:t>
      </w:r>
      <w:r w:rsidRPr="00E039B2">
        <w:rPr>
          <w:rFonts w:ascii="Arial" w:hAnsi="Arial" w:cs="Arial"/>
          <w:highlight w:val="yellow"/>
        </w:rPr>
        <w:t>2019</w:t>
      </w:r>
      <w:r w:rsidRPr="00E039B2">
        <w:rPr>
          <w:rFonts w:ascii="Arial" w:hAnsi="Arial" w:cs="Arial"/>
        </w:rPr>
        <w:t xml:space="preserve"> (the valuation date) are summarized in the following table:</w:t>
      </w:r>
      <w:r w:rsidRPr="00E039B2">
        <w:rPr>
          <w:rFonts w:ascii="Arial" w:hAnsi="Arial" w:cs="Arial"/>
          <w:b/>
          <w:color w:val="0000FF"/>
        </w:rPr>
        <w:t xml:space="preserve"> </w:t>
      </w:r>
    </w:p>
    <w:bookmarkStart w:id="95" w:name="_MON_1613465813"/>
    <w:bookmarkEnd w:id="95"/>
    <w:p w14:paraId="6120902B" w14:textId="77777777" w:rsidR="00AA200E" w:rsidRPr="00E039B2" w:rsidRDefault="00AA200E" w:rsidP="00AA200E">
      <w:pPr>
        <w:tabs>
          <w:tab w:val="left" w:pos="1890"/>
        </w:tabs>
        <w:spacing w:after="240"/>
        <w:ind w:left="1800"/>
        <w:jc w:val="center"/>
        <w:rPr>
          <w:rFonts w:ascii="Arial" w:hAnsi="Arial" w:cs="Arial"/>
        </w:rPr>
      </w:pPr>
      <w:r w:rsidRPr="00E039B2">
        <w:rPr>
          <w:rFonts w:ascii="Arial" w:hAnsi="Arial" w:cs="Arial"/>
        </w:rPr>
        <w:object w:dxaOrig="5772" w:dyaOrig="2805" w14:anchorId="4F5F2994">
          <v:shape id="_x0000_i1055" type="#_x0000_t75" style="width:279.75pt;height:137.25pt" o:ole="">
            <v:imagedata r:id="rId73" o:title=""/>
          </v:shape>
          <o:OLEObject Type="Embed" ProgID="Excel.Sheet.12" ShapeID="_x0000_i1055" DrawAspect="Content" ObjectID="_1661757484" r:id="rId74"/>
        </w:object>
      </w:r>
    </w:p>
    <w:p w14:paraId="39479BFD" w14:textId="4CD4D852" w:rsidR="00AA200E" w:rsidRPr="00E039B2" w:rsidRDefault="00AA200E" w:rsidP="00AA200E">
      <w:pPr>
        <w:spacing w:after="240" w:line="240" w:lineRule="auto"/>
        <w:ind w:left="1915"/>
        <w:jc w:val="both"/>
        <w:rPr>
          <w:rFonts w:ascii="Arial" w:hAnsi="Arial" w:cs="Arial"/>
        </w:rPr>
      </w:pPr>
      <w:r w:rsidRPr="00E039B2">
        <w:rPr>
          <w:rFonts w:ascii="Arial" w:hAnsi="Arial" w:cs="Arial"/>
        </w:rPr>
        <w:t>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w:t>
      </w:r>
      <w:r w:rsidRPr="003C24F6">
        <w:rPr>
          <w:rFonts w:ascii="Arial" w:hAnsi="Arial" w:cs="Arial"/>
        </w:rPr>
        <w:t xml:space="preserve"> </w:t>
      </w:r>
      <w:r w:rsidRPr="00E039B2">
        <w:rPr>
          <w:rFonts w:ascii="Arial" w:hAnsi="Arial" w:cs="Arial"/>
          <w:highlight w:val="yellow"/>
        </w:rPr>
        <w:t>2019</w:t>
      </w:r>
      <w:r w:rsidRPr="00E039B2">
        <w:rPr>
          <w:rFonts w:ascii="Arial" w:hAnsi="Arial" w:cs="Arial"/>
        </w:rPr>
        <w:t xml:space="preserve"> </w:t>
      </w:r>
      <w:r w:rsidRPr="00E039B2">
        <w:rPr>
          <w:rFonts w:ascii="Arial" w:hAnsi="Arial" w:cs="Arial"/>
          <w:highlight w:val="yellow"/>
        </w:rPr>
        <w:t>was</w:t>
      </w:r>
      <w:r w:rsidR="003C24F6">
        <w:rPr>
          <w:rFonts w:ascii="Arial" w:hAnsi="Arial" w:cs="Arial"/>
        </w:rPr>
        <w:t xml:space="preserve"> </w:t>
      </w:r>
      <w:r w:rsidRPr="00E039B2">
        <w:rPr>
          <w:rFonts w:ascii="Arial" w:hAnsi="Arial" w:cs="Arial"/>
          <w:highlight w:val="yellow"/>
        </w:rPr>
        <w:t>1.4%</w:t>
      </w:r>
      <w:r w:rsidRPr="00E039B2">
        <w:rPr>
          <w:rFonts w:ascii="Arial" w:hAnsi="Arial" w:cs="Arial"/>
        </w:rPr>
        <w:t>.</w:t>
      </w:r>
    </w:p>
    <w:p w14:paraId="0B37FC46" w14:textId="77777777" w:rsidR="00AA200E" w:rsidRPr="00E039B2" w:rsidRDefault="00AA200E" w:rsidP="00AA200E">
      <w:pPr>
        <w:spacing w:after="240" w:line="240" w:lineRule="auto"/>
        <w:ind w:left="1915"/>
        <w:jc w:val="both"/>
        <w:rPr>
          <w:rFonts w:ascii="Arial" w:hAnsi="Arial" w:cs="Arial"/>
        </w:rPr>
      </w:pPr>
      <w:r w:rsidRPr="00E039B2">
        <w:rPr>
          <w:rFonts w:ascii="Arial" w:hAnsi="Arial" w:cs="Arial"/>
        </w:rPr>
        <w:t xml:space="preserve">Actuarial valuations of the plans involve estimates of the value of reported amounts and assumptions about the probability of occurrence of events far into the future. Examples include assumptions about future employment, mortality, and the healthcare cost trend. Actuarially determined amounts are subject to continual revision as actual results are compared to past expectations and new estimates are made about the future. </w:t>
      </w:r>
    </w:p>
    <w:p w14:paraId="7DD5C837" w14:textId="77777777" w:rsidR="00AA200E" w:rsidRPr="00E039B2" w:rsidRDefault="00AA200E" w:rsidP="00AA200E">
      <w:pPr>
        <w:spacing w:after="240" w:line="240" w:lineRule="auto"/>
        <w:ind w:left="1915"/>
        <w:jc w:val="both"/>
        <w:rPr>
          <w:rFonts w:ascii="Arial" w:hAnsi="Arial" w:cs="Arial"/>
        </w:rPr>
      </w:pPr>
      <w:r w:rsidRPr="00E039B2">
        <w:rPr>
          <w:rFonts w:ascii="Arial" w:hAnsi="Arial" w:cs="Arial"/>
        </w:rPr>
        <w:t>The actuarial assumptions used for RHBF are consistent with those used to value the pension benefits of TSERS where appropriate. These assumptions are based on the most recent pension valuations available. The discount rate used for RHBF reflects a pay-as-you-go approach.</w:t>
      </w:r>
      <w:r w:rsidRPr="00E039B2">
        <w:rPr>
          <w:rFonts w:ascii="Arial" w:hAnsi="Arial" w:cs="Arial"/>
          <w:b/>
          <w:color w:val="0000FF"/>
        </w:rPr>
        <w:t xml:space="preserve"> </w:t>
      </w:r>
    </w:p>
    <w:p w14:paraId="0D6EEE6E" w14:textId="77777777" w:rsidR="00AA200E" w:rsidRPr="00E039B2" w:rsidRDefault="00AA200E" w:rsidP="00AA200E">
      <w:pPr>
        <w:spacing w:after="240" w:line="240" w:lineRule="auto"/>
        <w:ind w:left="1915"/>
        <w:jc w:val="both"/>
        <w:rPr>
          <w:rFonts w:ascii="Arial" w:hAnsi="Arial" w:cs="Arial"/>
        </w:rPr>
      </w:pPr>
      <w:r w:rsidRPr="00E039B2">
        <w:rPr>
          <w:rFonts w:ascii="Arial" w:hAnsi="Arial" w:cs="Arial"/>
        </w:rPr>
        <w:t xml:space="preserve">Projections of benefits for financial reporting purposes of the plans are based on the substantive plan (the plan as understood by the employer and plan members) and include the types of benefits provided at the time </w:t>
      </w:r>
      <w:r w:rsidRPr="00E039B2">
        <w:rPr>
          <w:rFonts w:ascii="Arial" w:hAnsi="Arial" w:cs="Arial"/>
        </w:rPr>
        <w:lastRenderedPageBreak/>
        <w:t xml:space="preserve">of each valuation and historical pattern of sharing of benefit costs between the employer and plan members to that point. Historically, the benefits funded solely by employer contributions applied equally to all retirees. Currently, as described earlier in the note, benefits are dependent on membership requirements. </w:t>
      </w:r>
    </w:p>
    <w:p w14:paraId="73BD9C98" w14:textId="77777777" w:rsidR="00AA200E" w:rsidRPr="00E039B2" w:rsidRDefault="00AA200E" w:rsidP="00AA200E">
      <w:pPr>
        <w:spacing w:after="240" w:line="240" w:lineRule="auto"/>
        <w:ind w:left="1915"/>
        <w:jc w:val="both"/>
        <w:rPr>
          <w:rFonts w:ascii="Arial" w:hAnsi="Arial" w:cs="Arial"/>
        </w:rPr>
      </w:pPr>
      <w:r w:rsidRPr="00E039B2">
        <w:rPr>
          <w:rFonts w:ascii="Arial" w:hAnsi="Arial" w:cs="Arial"/>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4C2D5A9F" w14:textId="01FD4195" w:rsidR="00AA200E" w:rsidRPr="00E039B2" w:rsidRDefault="00AA200E" w:rsidP="00AA200E">
      <w:pPr>
        <w:spacing w:after="240" w:line="240" w:lineRule="auto"/>
        <w:ind w:left="1915"/>
        <w:jc w:val="both"/>
        <w:rPr>
          <w:rFonts w:ascii="Arial" w:hAnsi="Arial" w:cs="Arial"/>
        </w:rPr>
      </w:pPr>
      <w:r w:rsidRPr="00E039B2">
        <w:rPr>
          <w:rFonts w:ascii="Arial" w:hAnsi="Arial" w:cs="Arial"/>
        </w:rPr>
        <w:t xml:space="preserve">The actuarial assumptions used in the December 31, </w:t>
      </w:r>
      <w:r w:rsidRPr="00E039B2">
        <w:rPr>
          <w:rFonts w:ascii="Arial" w:hAnsi="Arial" w:cs="Arial"/>
          <w:highlight w:val="yellow"/>
        </w:rPr>
        <w:t>2018</w:t>
      </w:r>
      <w:r w:rsidRPr="00E039B2">
        <w:rPr>
          <w:rFonts w:ascii="Arial" w:hAnsi="Arial" w:cs="Arial"/>
        </w:rPr>
        <w:t xml:space="preserve"> valuations were </w:t>
      </w:r>
      <w:r w:rsidRPr="00E039B2">
        <w:rPr>
          <w:rFonts w:ascii="Arial" w:hAnsi="Arial" w:cs="Arial"/>
          <w:highlight w:val="yellow"/>
        </w:rPr>
        <w:t>generally</w:t>
      </w:r>
      <w:r w:rsidRPr="00E039B2">
        <w:rPr>
          <w:rFonts w:ascii="Arial" w:hAnsi="Arial" w:cs="Arial"/>
        </w:rPr>
        <w:t xml:space="preserve"> based on the results of an actuarial experience study prepared as of December 31, 2014, as amended for updates to certain assumptions (such as the long-term investment return, medical claims, and medical trend rate assumptions) implemented based on annual reviews that have occurred since that experience study.</w:t>
      </w:r>
    </w:p>
    <w:p w14:paraId="02FA52B8" w14:textId="383A0811" w:rsidR="00AA200E" w:rsidRPr="00E039B2" w:rsidRDefault="00AA200E" w:rsidP="00AA200E">
      <w:pPr>
        <w:spacing w:after="240" w:line="240" w:lineRule="auto"/>
        <w:ind w:left="1915"/>
        <w:jc w:val="both"/>
        <w:rPr>
          <w:rFonts w:ascii="Arial" w:hAnsi="Arial" w:cs="Arial"/>
        </w:rPr>
      </w:pPr>
      <w:r w:rsidRPr="00E039B2">
        <w:rPr>
          <w:rFonts w:ascii="Arial" w:hAnsi="Arial" w:cs="Arial"/>
          <w:i/>
        </w:rPr>
        <w:t>Discount Rate:</w:t>
      </w:r>
      <w:r w:rsidRPr="00E039B2">
        <w:rPr>
          <w:rFonts w:ascii="Arial" w:hAnsi="Arial" w:cs="Arial"/>
        </w:rPr>
        <w:t xml:space="preserve"> The discount rate used to measure the total OPEB liability for RHBF was </w:t>
      </w:r>
      <w:r w:rsidRPr="00E039B2">
        <w:rPr>
          <w:rFonts w:ascii="Arial" w:hAnsi="Arial" w:cs="Arial"/>
          <w:highlight w:val="yellow"/>
        </w:rPr>
        <w:t>3.50%</w:t>
      </w:r>
      <w:r w:rsidRPr="00E039B2">
        <w:rPr>
          <w:rFonts w:ascii="Arial" w:hAnsi="Arial" w:cs="Arial"/>
        </w:rPr>
        <w:t xml:space="preserve">. The projection of cash flows used to determine the discount rate assumed that contributions from employers will be made at the current statutorily determined contribution rate. Based on the above assumptions, the plan’s fiduciary net position was not projected to be available to make projected future benefit payments of current plan members. As a result, a municipal bond rate of </w:t>
      </w:r>
      <w:r w:rsidRPr="00E039B2">
        <w:rPr>
          <w:rFonts w:ascii="Arial" w:hAnsi="Arial" w:cs="Arial"/>
          <w:highlight w:val="yellow"/>
        </w:rPr>
        <w:t>3.50%</w:t>
      </w:r>
      <w:r w:rsidRPr="00E039B2">
        <w:rPr>
          <w:rFonts w:ascii="Arial" w:hAnsi="Arial" w:cs="Arial"/>
        </w:rPr>
        <w:t xml:space="preserve"> was used as the discount rate used to measure the total OPEB liability. The </w:t>
      </w:r>
      <w:r w:rsidRPr="00E039B2">
        <w:rPr>
          <w:rFonts w:ascii="Arial" w:hAnsi="Arial" w:cs="Arial"/>
          <w:highlight w:val="yellow"/>
        </w:rPr>
        <w:t>3.50%</w:t>
      </w:r>
      <w:r w:rsidRPr="00E039B2">
        <w:rPr>
          <w:rFonts w:ascii="Arial" w:hAnsi="Arial" w:cs="Arial"/>
        </w:rPr>
        <w:t xml:space="preserve"> rate is based on the Bond Buyer 20-year General Obligation Index as of June 30, </w:t>
      </w:r>
      <w:r w:rsidRPr="00E039B2">
        <w:rPr>
          <w:rFonts w:ascii="Arial" w:hAnsi="Arial" w:cs="Arial"/>
          <w:highlight w:val="yellow"/>
        </w:rPr>
        <w:t>2019</w:t>
      </w:r>
      <w:r w:rsidRPr="00E039B2">
        <w:rPr>
          <w:rFonts w:ascii="Arial" w:hAnsi="Arial" w:cs="Arial"/>
        </w:rPr>
        <w:t xml:space="preserve">. </w:t>
      </w:r>
    </w:p>
    <w:p w14:paraId="5843FEDC" w14:textId="1E7E8B63" w:rsidR="00AA200E" w:rsidRPr="00E039B2" w:rsidRDefault="00AA200E" w:rsidP="00AA200E">
      <w:pPr>
        <w:spacing w:after="240" w:line="240" w:lineRule="auto"/>
        <w:ind w:left="1915"/>
        <w:jc w:val="both"/>
        <w:rPr>
          <w:rFonts w:ascii="Arial" w:hAnsi="Arial" w:cs="Arial"/>
        </w:rPr>
      </w:pPr>
      <w:r w:rsidRPr="00E039B2">
        <w:rPr>
          <w:rFonts w:ascii="Arial" w:hAnsi="Arial" w:cs="Arial"/>
        </w:rPr>
        <w:t xml:space="preserve">The discount rate used to measure the total OPEB </w:t>
      </w:r>
      <w:r w:rsidRPr="00E039B2">
        <w:rPr>
          <w:rFonts w:ascii="Arial" w:hAnsi="Arial" w:cs="Arial"/>
          <w:highlight w:val="yellow"/>
        </w:rPr>
        <w:t>liability</w:t>
      </w:r>
      <w:r w:rsidRPr="00E039B2">
        <w:rPr>
          <w:rFonts w:ascii="Arial" w:hAnsi="Arial" w:cs="Arial"/>
        </w:rPr>
        <w:t xml:space="preserve"> for DIPNC was 3.75%. The projection of cash flows used to determine the discount rate assumed that contributions from plan members will be made at the current contribution rate and that contributions from employers will be made at statutorily required rates, actuarially determined. Based on those assumptions, the plan’s fiduciary net position was projected to be available to make all projected future benefit payments of the current plan members. Therefore, the long-term expected rate of return on plan investments was applied to all periods of projected benefit payments to determine the total OPEB </w:t>
      </w:r>
      <w:r w:rsidRPr="00E039B2">
        <w:rPr>
          <w:rFonts w:ascii="Arial" w:hAnsi="Arial" w:cs="Arial"/>
          <w:highlight w:val="yellow"/>
        </w:rPr>
        <w:t>liability</w:t>
      </w:r>
      <w:r w:rsidRPr="00E039B2">
        <w:rPr>
          <w:rFonts w:ascii="Arial" w:hAnsi="Arial" w:cs="Arial"/>
        </w:rPr>
        <w:t xml:space="preserve">. </w:t>
      </w:r>
    </w:p>
    <w:p w14:paraId="43952999" w14:textId="77777777" w:rsidR="00AA200E" w:rsidRPr="00E039B2" w:rsidRDefault="00AA200E" w:rsidP="00AA200E">
      <w:pPr>
        <w:spacing w:after="240" w:line="240" w:lineRule="auto"/>
        <w:ind w:left="1915"/>
        <w:jc w:val="both"/>
        <w:rPr>
          <w:rFonts w:ascii="Arial" w:hAnsi="Arial" w:cs="Arial"/>
        </w:rPr>
      </w:pPr>
      <w:r w:rsidRPr="00E039B2">
        <w:rPr>
          <w:rFonts w:ascii="Arial" w:hAnsi="Arial" w:cs="Arial"/>
          <w:i/>
        </w:rPr>
        <w:t>Sensitivity of the Net OPEB Liability (Asset) to Changes in the Discount Rate:</w:t>
      </w:r>
      <w:r w:rsidRPr="00E039B2">
        <w:rPr>
          <w:rFonts w:ascii="Arial" w:hAnsi="Arial" w:cs="Arial"/>
        </w:rPr>
        <w:t xml:space="preserve"> The following presents the Department’s proportionate share of the net OPEB liability (asset) of the plans, as well as what the plans’ net OPEB liability (asset) would be if it were calculated using a discount rate that is 1-percentage point lower or 1-percentage point higher than the current discount rate:</w:t>
      </w:r>
      <w:r w:rsidRPr="00E039B2">
        <w:rPr>
          <w:rFonts w:ascii="Arial" w:hAnsi="Arial" w:cs="Arial"/>
          <w:b/>
          <w:color w:val="0000FF"/>
        </w:rPr>
        <w:t xml:space="preserve"> </w:t>
      </w:r>
    </w:p>
    <w:p w14:paraId="4C699DBC" w14:textId="2E600729" w:rsidR="00AA200E" w:rsidRPr="00E039B2" w:rsidRDefault="00AA200E" w:rsidP="00AA200E">
      <w:pPr>
        <w:tabs>
          <w:tab w:val="left" w:pos="1560"/>
        </w:tabs>
        <w:spacing w:after="240" w:line="240" w:lineRule="auto"/>
        <w:ind w:left="1560"/>
        <w:jc w:val="both"/>
        <w:rPr>
          <w:rFonts w:ascii="Arial" w:hAnsi="Arial" w:cs="Arial"/>
          <w:i/>
        </w:rPr>
      </w:pPr>
      <w:bookmarkStart w:id="96" w:name="_MON_1611730776"/>
      <w:bookmarkEnd w:id="96"/>
      <w:r w:rsidRPr="00E039B2">
        <w:rPr>
          <w:rFonts w:ascii="Arial" w:hAnsi="Arial" w:cs="Arial"/>
          <w:i/>
        </w:rPr>
        <w:lastRenderedPageBreak/>
        <w:tab/>
        <w:t xml:space="preserve">        </w:t>
      </w:r>
      <w:r w:rsidRPr="00E039B2">
        <w:rPr>
          <w:rFonts w:ascii="Arial" w:hAnsi="Arial" w:cs="Arial"/>
          <w:i/>
        </w:rPr>
        <w:tab/>
        <w:t xml:space="preserve">  </w:t>
      </w:r>
      <w:bookmarkStart w:id="97" w:name="_MON_1661755575"/>
      <w:bookmarkEnd w:id="97"/>
      <w:r w:rsidR="003C24F6" w:rsidRPr="00E039B2">
        <w:rPr>
          <w:rFonts w:ascii="Arial" w:hAnsi="Arial" w:cs="Arial"/>
          <w:i/>
        </w:rPr>
        <w:object w:dxaOrig="9480" w:dyaOrig="2775" w14:anchorId="10CAE291">
          <v:shape id="_x0000_i1088" type="#_x0000_t75" style="width:397.5pt;height:118.5pt" o:ole="">
            <v:imagedata r:id="rId75" o:title=""/>
          </v:shape>
          <o:OLEObject Type="Embed" ProgID="Excel.Sheet.12" ShapeID="_x0000_i1088" DrawAspect="Content" ObjectID="_1661757485" r:id="rId76"/>
        </w:object>
      </w:r>
    </w:p>
    <w:p w14:paraId="0AD51642" w14:textId="77777777" w:rsidR="00AA200E" w:rsidRPr="00E039B2" w:rsidRDefault="00AA200E" w:rsidP="00AA200E">
      <w:pPr>
        <w:spacing w:after="240" w:line="240" w:lineRule="auto"/>
        <w:ind w:left="1915"/>
        <w:jc w:val="both"/>
        <w:rPr>
          <w:rFonts w:ascii="Arial" w:hAnsi="Arial" w:cs="Arial"/>
          <w:b/>
          <w:color w:val="0000FF"/>
        </w:rPr>
      </w:pPr>
      <w:r w:rsidRPr="00E039B2">
        <w:rPr>
          <w:rFonts w:ascii="Arial" w:hAnsi="Arial" w:cs="Arial"/>
          <w:i/>
        </w:rPr>
        <w:t>Sensitivity of the Net OPEB Liability (Asset) to Changes in the Healthcare Cost Trend Rates:</w:t>
      </w:r>
      <w:r w:rsidRPr="00E039B2">
        <w:rPr>
          <w:rFonts w:ascii="Arial" w:hAnsi="Arial" w:cs="Arial"/>
        </w:rPr>
        <w:t xml:space="preserve"> The following presents the net OPEB liability (asset) of the plans, as well as what the plans’ net OPEB liability (asset) would be if it were calculated using healthcare cost trend rates that are 1-percentage point lower or 1-percentage point higher than the current healthcare cost trend rates:</w:t>
      </w:r>
      <w:r w:rsidRPr="00E039B2">
        <w:rPr>
          <w:rFonts w:ascii="Arial" w:hAnsi="Arial" w:cs="Arial"/>
          <w:b/>
          <w:color w:val="0000FF"/>
        </w:rPr>
        <w:t xml:space="preserve"> </w:t>
      </w:r>
      <w:bookmarkStart w:id="98" w:name="_MON_1611730762"/>
      <w:bookmarkEnd w:id="98"/>
    </w:p>
    <w:bookmarkStart w:id="99" w:name="_MON_1661755624"/>
    <w:bookmarkEnd w:id="99"/>
    <w:p w14:paraId="2BC3971A" w14:textId="64917C42" w:rsidR="00AA200E" w:rsidRPr="00E039B2" w:rsidRDefault="003C24F6" w:rsidP="00AA200E">
      <w:pPr>
        <w:tabs>
          <w:tab w:val="left" w:pos="1560"/>
        </w:tabs>
        <w:spacing w:after="240" w:line="240" w:lineRule="auto"/>
        <w:ind w:left="1440"/>
        <w:jc w:val="both"/>
        <w:rPr>
          <w:rFonts w:ascii="Arial" w:hAnsi="Arial" w:cs="Arial"/>
          <w:i/>
        </w:rPr>
      </w:pPr>
      <w:r w:rsidRPr="00E039B2">
        <w:rPr>
          <w:rFonts w:ascii="Arial" w:hAnsi="Arial" w:cs="Arial"/>
          <w:b/>
          <w:smallCaps/>
        </w:rPr>
        <w:object w:dxaOrig="11025" w:dyaOrig="5128" w14:anchorId="5262994F">
          <v:shape id="_x0000_i1098" type="#_x0000_t75" style="width:412.5pt;height:198pt" o:ole="">
            <v:imagedata r:id="rId77" o:title=""/>
          </v:shape>
          <o:OLEObject Type="Embed" ProgID="Excel.Sheet.12" ShapeID="_x0000_i1098" DrawAspect="Content" ObjectID="_1661757486" r:id="rId78"/>
        </w:object>
      </w:r>
    </w:p>
    <w:p w14:paraId="098891F9" w14:textId="25885018" w:rsidR="00AA200E" w:rsidRPr="00E039B2" w:rsidRDefault="00AA200E" w:rsidP="00AA200E">
      <w:pPr>
        <w:tabs>
          <w:tab w:val="left" w:pos="1560"/>
        </w:tabs>
        <w:spacing w:after="240" w:line="240" w:lineRule="auto"/>
        <w:ind w:left="1915"/>
        <w:jc w:val="both"/>
        <w:rPr>
          <w:rFonts w:ascii="Arial" w:hAnsi="Arial" w:cs="Arial"/>
        </w:rPr>
      </w:pPr>
      <w:r w:rsidRPr="00E039B2">
        <w:rPr>
          <w:rFonts w:ascii="Arial" w:hAnsi="Arial" w:cs="Arial"/>
          <w:i/>
        </w:rPr>
        <w:t>Deferred Outflows of Resources and Deferred Inflows of Resources Related to OPEB:</w:t>
      </w:r>
      <w:r w:rsidRPr="00E039B2">
        <w:rPr>
          <w:rFonts w:ascii="Arial" w:hAnsi="Arial" w:cs="Arial"/>
        </w:rPr>
        <w:t xml:space="preserve"> For the year ended June 30, </w:t>
      </w:r>
      <w:r w:rsidRPr="00E039B2">
        <w:rPr>
          <w:rFonts w:ascii="Arial" w:hAnsi="Arial" w:cs="Arial"/>
          <w:highlight w:val="yellow"/>
        </w:rPr>
        <w:t>2020</w:t>
      </w:r>
      <w:r w:rsidRPr="00E039B2">
        <w:rPr>
          <w:rFonts w:ascii="Arial" w:hAnsi="Arial" w:cs="Arial"/>
        </w:rPr>
        <w:t xml:space="preserve">, the Department’s proportionate share of the collective OPEB expense was $_______ for RHBF and $________ for DIPNC. Of these amounts, the proprietary funds recognized OPEB expense of $_______ for RHBF and $_______ for DIPNC. </w:t>
      </w:r>
      <w:r w:rsidRPr="00E039B2">
        <w:rPr>
          <w:rFonts w:ascii="Arial" w:eastAsia="Calibri" w:hAnsi="Arial" w:cs="Arial"/>
          <w:b/>
          <w:i/>
          <w:color w:val="0000FF"/>
        </w:rPr>
        <w:t>[Remove if not applicable.]</w:t>
      </w:r>
      <w:r w:rsidRPr="00E039B2">
        <w:rPr>
          <w:rFonts w:ascii="Arial" w:hAnsi="Arial" w:cs="Arial"/>
          <w:i/>
        </w:rPr>
        <w:t xml:space="preserve"> </w:t>
      </w:r>
      <w:r w:rsidRPr="00E039B2">
        <w:rPr>
          <w:rFonts w:ascii="Arial" w:hAnsi="Arial" w:cs="Arial"/>
        </w:rPr>
        <w:t xml:space="preserve">At June 30, </w:t>
      </w:r>
      <w:r w:rsidRPr="00E039B2">
        <w:rPr>
          <w:rFonts w:ascii="Arial" w:hAnsi="Arial" w:cs="Arial"/>
          <w:highlight w:val="yellow"/>
        </w:rPr>
        <w:t>2020</w:t>
      </w:r>
      <w:r w:rsidRPr="00E039B2">
        <w:rPr>
          <w:rFonts w:ascii="Arial" w:hAnsi="Arial" w:cs="Arial"/>
        </w:rPr>
        <w:t>, the Department’s proportionate share of deferred outflows of resources and deferred inflows of resources related to OPEB were from the following sources:</w:t>
      </w:r>
      <w:r w:rsidRPr="00E039B2">
        <w:rPr>
          <w:rFonts w:ascii="Arial" w:hAnsi="Arial" w:cs="Arial"/>
          <w:b/>
          <w:color w:val="0000FF"/>
        </w:rPr>
        <w:t xml:space="preserve"> </w:t>
      </w:r>
    </w:p>
    <w:p w14:paraId="5754A28C" w14:textId="323AC5D1" w:rsidR="00AA200E" w:rsidRPr="00E039B2" w:rsidRDefault="00AA200E" w:rsidP="004A0566">
      <w:pPr>
        <w:tabs>
          <w:tab w:val="left" w:pos="1560"/>
          <w:tab w:val="left" w:pos="4050"/>
        </w:tabs>
        <w:spacing w:after="240" w:line="240" w:lineRule="auto"/>
        <w:ind w:left="1560"/>
        <w:jc w:val="both"/>
        <w:rPr>
          <w:rFonts w:ascii="Tahoma" w:hAnsi="Tahoma" w:cs="Tahoma"/>
        </w:rPr>
      </w:pPr>
      <w:r w:rsidRPr="00E039B2">
        <w:rPr>
          <w:rFonts w:ascii="Tahoma" w:hAnsi="Tahoma" w:cs="Tahoma"/>
        </w:rPr>
        <w:lastRenderedPageBreak/>
        <w:t xml:space="preserve"> </w:t>
      </w:r>
      <w:r w:rsidRPr="00E039B2">
        <w:rPr>
          <w:rFonts w:ascii="Tahoma" w:hAnsi="Tahoma" w:cs="Tahoma"/>
        </w:rPr>
        <w:tab/>
        <w:t xml:space="preserve">    </w:t>
      </w:r>
      <w:r w:rsidRPr="00E039B2">
        <w:rPr>
          <w:rFonts w:ascii="Tahoma" w:hAnsi="Tahoma" w:cs="Tahoma"/>
        </w:rPr>
        <w:tab/>
        <w:t xml:space="preserve">  </w:t>
      </w:r>
      <w:bookmarkStart w:id="100" w:name="_Hlk47881449"/>
      <w:bookmarkStart w:id="101" w:name="_MON_1654683251"/>
      <w:bookmarkEnd w:id="101"/>
      <w:r w:rsidR="003C24F6" w:rsidRPr="00E039B2">
        <w:rPr>
          <w:rFonts w:ascii="Tahoma" w:hAnsi="Tahoma" w:cs="Tahoma"/>
        </w:rPr>
        <w:object w:dxaOrig="11203" w:dyaOrig="6938" w14:anchorId="2BA0543A">
          <v:shape id="_x0000_i1104" type="#_x0000_t75" style="width:393pt;height:244.5pt" o:ole="">
            <v:imagedata r:id="rId79" o:title=""/>
          </v:shape>
          <o:OLEObject Type="Embed" ProgID="Excel.Sheet.12" ShapeID="_x0000_i1104" DrawAspect="Content" ObjectID="_1661757487" r:id="rId80"/>
        </w:object>
      </w:r>
      <w:bookmarkEnd w:id="100"/>
    </w:p>
    <w:p w14:paraId="64ECAB53" w14:textId="04B72318" w:rsidR="00AA200E" w:rsidRPr="00E039B2" w:rsidRDefault="00AA200E" w:rsidP="00AA200E">
      <w:pPr>
        <w:spacing w:line="240" w:lineRule="auto"/>
        <w:ind w:left="720" w:firstLine="432"/>
        <w:jc w:val="center"/>
        <w:rPr>
          <w:rFonts w:ascii="Arial" w:eastAsia="Calibri" w:hAnsi="Arial" w:cs="Arial"/>
          <w:b/>
          <w:i/>
          <w:color w:val="0000FF"/>
        </w:rPr>
      </w:pPr>
      <w:r w:rsidRPr="00E039B2">
        <w:rPr>
          <w:rFonts w:ascii="Arial" w:eastAsia="Calibri" w:hAnsi="Arial" w:cs="Arial"/>
          <w:b/>
          <w:i/>
          <w:color w:val="0000FF"/>
        </w:rPr>
        <w:t>[Modify as necessary]</w:t>
      </w:r>
    </w:p>
    <w:bookmarkStart w:id="102" w:name="_MON_1658495021"/>
    <w:bookmarkEnd w:id="102"/>
    <w:p w14:paraId="00CA078B" w14:textId="4CD29D17" w:rsidR="004A0566" w:rsidRPr="00E039B2" w:rsidRDefault="003C24F6" w:rsidP="004A0566">
      <w:pPr>
        <w:spacing w:line="240" w:lineRule="auto"/>
        <w:ind w:left="1152" w:firstLine="432"/>
        <w:jc w:val="center"/>
      </w:pPr>
      <w:r w:rsidRPr="00E039B2">
        <w:rPr>
          <w:rFonts w:ascii="Tahoma" w:hAnsi="Tahoma" w:cs="Tahoma"/>
        </w:rPr>
        <w:object w:dxaOrig="11203" w:dyaOrig="6938" w14:anchorId="661E92CD">
          <v:shape id="_x0000_i1115" type="#_x0000_t75" style="width:393pt;height:245.25pt" o:ole="">
            <v:imagedata r:id="rId81" o:title=""/>
          </v:shape>
          <o:OLEObject Type="Embed" ProgID="Excel.Sheet.12" ShapeID="_x0000_i1115" DrawAspect="Content" ObjectID="_1661757488" r:id="rId82"/>
        </w:object>
      </w:r>
    </w:p>
    <w:p w14:paraId="66758084" w14:textId="1DE5F070" w:rsidR="00AA200E" w:rsidRPr="00E039B2" w:rsidRDefault="00AA200E" w:rsidP="004A0566">
      <w:pPr>
        <w:tabs>
          <w:tab w:val="left" w:pos="1560"/>
        </w:tabs>
        <w:spacing w:after="240" w:line="240" w:lineRule="auto"/>
        <w:ind w:left="1560"/>
        <w:jc w:val="both"/>
        <w:rPr>
          <w:rFonts w:ascii="Tahoma" w:hAnsi="Tahoma" w:cs="Tahoma"/>
        </w:rPr>
      </w:pPr>
      <w:r w:rsidRPr="00E039B2">
        <w:rPr>
          <w:rFonts w:ascii="Tahoma" w:hAnsi="Tahoma" w:cs="Tahoma"/>
        </w:rPr>
        <w:tab/>
        <w:t xml:space="preserve">     </w:t>
      </w:r>
      <w:bookmarkStart w:id="103" w:name="_MON_1604311011"/>
      <w:bookmarkEnd w:id="103"/>
    </w:p>
    <w:p w14:paraId="44D04156" w14:textId="77777777" w:rsidR="00AA200E" w:rsidRPr="00E039B2" w:rsidRDefault="00AA200E" w:rsidP="00AA200E">
      <w:pPr>
        <w:spacing w:line="240" w:lineRule="auto"/>
        <w:ind w:left="720" w:firstLine="432"/>
        <w:jc w:val="center"/>
        <w:rPr>
          <w:rFonts w:ascii="Arial" w:eastAsia="Calibri" w:hAnsi="Arial" w:cs="Arial"/>
          <w:i/>
        </w:rPr>
      </w:pPr>
      <w:r w:rsidRPr="00E039B2">
        <w:rPr>
          <w:rFonts w:ascii="Arial" w:eastAsia="Calibri" w:hAnsi="Arial" w:cs="Arial"/>
          <w:b/>
          <w:i/>
          <w:color w:val="0000FF"/>
        </w:rPr>
        <w:t>[Modify as necessary]</w:t>
      </w:r>
    </w:p>
    <w:p w14:paraId="046763FA" w14:textId="01FA57AA" w:rsidR="00AA200E" w:rsidRPr="00E039B2" w:rsidRDefault="00AA200E" w:rsidP="00AA200E">
      <w:pPr>
        <w:tabs>
          <w:tab w:val="left" w:pos="1560"/>
          <w:tab w:val="center" w:pos="4680"/>
          <w:tab w:val="right" w:pos="9360"/>
        </w:tabs>
        <w:spacing w:after="240" w:line="240" w:lineRule="auto"/>
        <w:ind w:left="1915"/>
        <w:jc w:val="both"/>
        <w:rPr>
          <w:rFonts w:ascii="Arial" w:hAnsi="Arial" w:cs="Arial"/>
        </w:rPr>
      </w:pPr>
      <w:r w:rsidRPr="00E039B2">
        <w:rPr>
          <w:rFonts w:ascii="Arial" w:hAnsi="Arial" w:cs="Arial"/>
        </w:rPr>
        <w:t xml:space="preserve">Amounts reported as deferred outflows of resources related to contributions subsequent to the measurement date will be recognized as a reduction of the net OPEB liability related to RHBF and an increase of the net OPEB asset related to DIPNC in the fiscal year ended June 30, </w:t>
      </w:r>
      <w:r w:rsidRPr="00E039B2">
        <w:rPr>
          <w:rFonts w:ascii="Arial" w:hAnsi="Arial" w:cs="Arial"/>
          <w:highlight w:val="yellow"/>
        </w:rPr>
        <w:lastRenderedPageBreak/>
        <w:t>2021</w:t>
      </w:r>
      <w:r w:rsidRPr="00E039B2">
        <w:rPr>
          <w:rFonts w:ascii="Arial" w:hAnsi="Arial" w:cs="Arial"/>
        </w:rPr>
        <w:t>.</w:t>
      </w:r>
      <w:r w:rsidRPr="00E039B2">
        <w:rPr>
          <w:rFonts w:ascii="Arial" w:hAnsi="Arial"/>
        </w:rPr>
        <w:t xml:space="preserve"> Other amounts reported as deferred outflows of resources and deferred inflows of resources related to OPEB will be recognized in OPEB expense as follows:</w:t>
      </w:r>
      <w:r w:rsidRPr="00E039B2">
        <w:rPr>
          <w:rFonts w:ascii="Arial" w:hAnsi="Arial" w:cs="Arial"/>
          <w:b/>
          <w:color w:val="0000FF"/>
        </w:rPr>
        <w:t xml:space="preserve"> </w:t>
      </w:r>
    </w:p>
    <w:p w14:paraId="0D73183C" w14:textId="77777777" w:rsidR="00AA200E" w:rsidRPr="00E039B2" w:rsidRDefault="00AA200E" w:rsidP="00AA200E">
      <w:pPr>
        <w:tabs>
          <w:tab w:val="left" w:pos="1560"/>
        </w:tabs>
        <w:spacing w:after="240" w:line="240" w:lineRule="auto"/>
        <w:ind w:left="2052"/>
        <w:contextualSpacing/>
        <w:jc w:val="both"/>
        <w:rPr>
          <w:rFonts w:ascii="Arial" w:eastAsia="Times New Roman" w:hAnsi="Arial" w:cs="Arial"/>
        </w:rPr>
      </w:pPr>
      <w:bookmarkStart w:id="104" w:name="_MON_1611738337"/>
      <w:bookmarkEnd w:id="104"/>
    </w:p>
    <w:p w14:paraId="137561EF" w14:textId="301BAB00" w:rsidR="00AA200E" w:rsidRPr="00E039B2" w:rsidRDefault="004A0566" w:rsidP="00AA200E">
      <w:pPr>
        <w:tabs>
          <w:tab w:val="left" w:pos="1560"/>
        </w:tabs>
        <w:spacing w:after="240" w:line="240" w:lineRule="auto"/>
        <w:ind w:left="1440"/>
        <w:contextualSpacing/>
        <w:jc w:val="center"/>
        <w:rPr>
          <w:rFonts w:ascii="Arial" w:eastAsia="Times New Roman" w:hAnsi="Arial" w:cs="Arial"/>
        </w:rPr>
      </w:pPr>
      <w:r w:rsidRPr="00E039B2">
        <w:rPr>
          <w:rFonts w:ascii="Arial" w:eastAsia="Times New Roman" w:hAnsi="Arial" w:cs="Arial"/>
        </w:rPr>
        <w:object w:dxaOrig="8854" w:dyaOrig="4469" w14:anchorId="6BE11ACB">
          <v:shape id="_x0000_i1060" type="#_x0000_t75" style="width:399pt;height:201.75pt" o:ole="">
            <v:imagedata r:id="rId83" o:title=""/>
          </v:shape>
          <o:OLEObject Type="Embed" ProgID="Excel.Sheet.12" ShapeID="_x0000_i1060" DrawAspect="Content" ObjectID="_1661757489" r:id="rId84"/>
        </w:object>
      </w:r>
    </w:p>
    <w:p w14:paraId="193AC0C7" w14:textId="77777777" w:rsidR="00AA200E" w:rsidRPr="00E039B2" w:rsidRDefault="00AA200E" w:rsidP="00AA200E">
      <w:pPr>
        <w:spacing w:line="240" w:lineRule="auto"/>
        <w:ind w:left="720" w:firstLine="432"/>
        <w:jc w:val="center"/>
        <w:rPr>
          <w:rFonts w:ascii="Arial" w:eastAsia="Calibri" w:hAnsi="Arial" w:cs="Arial"/>
          <w:i/>
        </w:rPr>
      </w:pPr>
      <w:r w:rsidRPr="00E039B2">
        <w:rPr>
          <w:rFonts w:ascii="Arial" w:eastAsia="Calibri" w:hAnsi="Arial" w:cs="Arial"/>
          <w:b/>
          <w:i/>
          <w:color w:val="0000FF"/>
        </w:rPr>
        <w:t>[Modify as necessary]</w:t>
      </w:r>
    </w:p>
    <w:p w14:paraId="7E02598C" w14:textId="77777777" w:rsidR="00AA200E" w:rsidRPr="00E039B2" w:rsidRDefault="00AA200E" w:rsidP="00AA200E">
      <w:pPr>
        <w:tabs>
          <w:tab w:val="left" w:pos="1560"/>
        </w:tabs>
        <w:spacing w:after="240" w:line="240" w:lineRule="auto"/>
        <w:ind w:left="1440"/>
        <w:contextualSpacing/>
        <w:jc w:val="center"/>
        <w:rPr>
          <w:rFonts w:ascii="Arial" w:eastAsia="Times New Roman" w:hAnsi="Arial" w:cs="Arial"/>
        </w:rPr>
      </w:pPr>
    </w:p>
    <w:p w14:paraId="6B3A3611" w14:textId="4C8F9A52" w:rsidR="00AA200E" w:rsidRPr="00E039B2" w:rsidRDefault="00AA200E" w:rsidP="00AA200E">
      <w:pPr>
        <w:tabs>
          <w:tab w:val="left" w:pos="1080"/>
        </w:tabs>
        <w:spacing w:before="240" w:after="240" w:line="240" w:lineRule="auto"/>
        <w:rPr>
          <w:rFonts w:ascii="Arial" w:eastAsia="Times New Roman" w:hAnsi="Arial" w:cs="Arial"/>
          <w:b/>
          <w:smallCaps/>
        </w:rPr>
      </w:pPr>
      <w:r w:rsidRPr="00E039B2">
        <w:rPr>
          <w:rFonts w:ascii="Arial" w:eastAsia="Times New Roman" w:hAnsi="Arial" w:cs="Arial"/>
          <w:b/>
          <w:smallCaps/>
        </w:rPr>
        <w:t>Note 15</w:t>
      </w:r>
      <w:r w:rsidRPr="00E039B2">
        <w:rPr>
          <w:rFonts w:ascii="Arial" w:eastAsia="Times New Roman" w:hAnsi="Arial" w:cs="Arial"/>
          <w:b/>
          <w:smallCaps/>
        </w:rPr>
        <w:tab/>
        <w:t>-</w:t>
      </w:r>
      <w:r w:rsidRPr="00E039B2">
        <w:rPr>
          <w:rFonts w:ascii="Arial" w:eastAsia="Times New Roman" w:hAnsi="Arial" w:cs="Arial"/>
          <w:b/>
          <w:smallCaps/>
        </w:rPr>
        <w:tab/>
        <w:t>Risk Management</w:t>
      </w:r>
    </w:p>
    <w:p w14:paraId="33391087" w14:textId="77777777" w:rsidR="00AA200E" w:rsidRPr="00E039B2" w:rsidRDefault="00AA200E" w:rsidP="00AA200E">
      <w:pPr>
        <w:spacing w:after="240" w:line="240" w:lineRule="auto"/>
        <w:ind w:left="1440"/>
        <w:jc w:val="both"/>
        <w:rPr>
          <w:rFonts w:ascii="Arial" w:eastAsia="Times New Roman" w:hAnsi="Arial" w:cs="Arial"/>
          <w:b/>
          <w:bCs/>
          <w:i/>
          <w:iCs/>
          <w:color w:val="0000FF"/>
        </w:rPr>
      </w:pPr>
      <w:r w:rsidRPr="00E039B2">
        <w:rPr>
          <w:rFonts w:ascii="Arial" w:eastAsia="Times New Roman" w:hAnsi="Arial" w:cs="Arial"/>
        </w:rPr>
        <w:t xml:space="preserve">The Department is exposed to various risks of loss related to torts; theft of, damage to, and destruction of assets; errors and omissions; injuries to employees; and natural disasters. These exposures to loss are handled via a combination of methods, including participation in state-administered insurance programs, purchase of commercial insurance, and self-retention of certain risks. There have been no significant reductions in insurance coverage from the previous year and settled claims have not exceeded coverage in any of the past three fiscal years. </w:t>
      </w:r>
      <w:r w:rsidRPr="00E039B2">
        <w:rPr>
          <w:rFonts w:ascii="Arial" w:eastAsia="Times New Roman" w:hAnsi="Arial" w:cs="Arial"/>
          <w:b/>
          <w:bCs/>
          <w:i/>
          <w:iCs/>
          <w:color w:val="0000FF"/>
        </w:rPr>
        <w:t>[Revise previous sentence as necessary.]</w:t>
      </w:r>
    </w:p>
    <w:p w14:paraId="2F3BE9AE" w14:textId="77777777" w:rsidR="00AA200E" w:rsidRPr="00E039B2" w:rsidRDefault="00AA200E" w:rsidP="00AA200E">
      <w:pPr>
        <w:numPr>
          <w:ilvl w:val="0"/>
          <w:numId w:val="17"/>
        </w:numPr>
        <w:spacing w:after="240" w:line="240" w:lineRule="auto"/>
        <w:ind w:left="1890" w:hanging="450"/>
        <w:jc w:val="both"/>
        <w:rPr>
          <w:rFonts w:ascii="Arial" w:eastAsia="Times New Roman" w:hAnsi="Arial" w:cs="Arial"/>
          <w:b/>
        </w:rPr>
      </w:pPr>
      <w:r w:rsidRPr="00E039B2">
        <w:rPr>
          <w:rFonts w:ascii="Arial" w:eastAsia="Times New Roman" w:hAnsi="Arial" w:cs="Arial"/>
          <w:b/>
          <w:bCs/>
          <w:iCs/>
        </w:rPr>
        <w:t>Employee Benefit Plans</w:t>
      </w:r>
    </w:p>
    <w:p w14:paraId="28807B80" w14:textId="77777777" w:rsidR="00AA200E" w:rsidRPr="00E039B2" w:rsidRDefault="00AA200E" w:rsidP="00AA200E">
      <w:pPr>
        <w:numPr>
          <w:ilvl w:val="0"/>
          <w:numId w:val="16"/>
        </w:numPr>
        <w:tabs>
          <w:tab w:val="num" w:pos="2304"/>
        </w:tabs>
        <w:spacing w:after="240" w:line="240" w:lineRule="auto"/>
        <w:ind w:left="1800" w:firstLine="0"/>
        <w:jc w:val="both"/>
        <w:rPr>
          <w:rFonts w:ascii="Arial" w:eastAsia="Times New Roman" w:hAnsi="Arial" w:cs="Arial"/>
        </w:rPr>
      </w:pPr>
      <w:r w:rsidRPr="00E039B2">
        <w:rPr>
          <w:rFonts w:ascii="Arial" w:eastAsia="Times New Roman" w:hAnsi="Arial" w:cs="Arial"/>
          <w:b/>
          <w:bCs/>
          <w:iCs/>
        </w:rPr>
        <w:t>State Health Plan</w:t>
      </w:r>
    </w:p>
    <w:p w14:paraId="640E9552" w14:textId="77777777" w:rsidR="00AA200E" w:rsidRPr="00E039B2" w:rsidRDefault="00AA200E" w:rsidP="00AA200E">
      <w:pPr>
        <w:spacing w:after="240" w:line="240" w:lineRule="auto"/>
        <w:ind w:left="2304"/>
        <w:jc w:val="both"/>
        <w:rPr>
          <w:rFonts w:ascii="Arial" w:eastAsia="Times New Roman" w:hAnsi="Arial" w:cs="Arial"/>
        </w:rPr>
      </w:pPr>
      <w:r w:rsidRPr="00E039B2">
        <w:rPr>
          <w:rFonts w:ascii="Arial" w:eastAsia="Times New Roman" w:hAnsi="Arial" w:cs="Arial"/>
        </w:rPr>
        <w:t xml:space="preserve">Department employees </w:t>
      </w:r>
      <w:r w:rsidRPr="00E039B2">
        <w:rPr>
          <w:rFonts w:ascii="Arial" w:eastAsia="Times New Roman" w:hAnsi="Arial" w:cs="Arial"/>
          <w:highlight w:val="yellow"/>
        </w:rPr>
        <w:t>and retirees</w:t>
      </w:r>
      <w:r w:rsidRPr="00E039B2">
        <w:rPr>
          <w:rFonts w:ascii="Arial" w:eastAsia="Times New Roman" w:hAnsi="Arial" w:cs="Arial"/>
        </w:rPr>
        <w:t xml:space="preserve"> are provided comprehensive major medical care benefits. Coverage is funded by contributions to the State Health Plan (Plan), a discretely presented component unit of the State of North Carolina. The Plan is funded by employer contributions. Certain plans also require contributions from employees. The Plan has contracted with third parties to process claims. See Note </w:t>
      </w:r>
      <w:r w:rsidRPr="00E039B2">
        <w:rPr>
          <w:rFonts w:ascii="Arial" w:eastAsia="Times New Roman" w:hAnsi="Arial" w:cs="Arial"/>
          <w:b/>
          <w:color w:val="0000FF"/>
        </w:rPr>
        <w:t>XX</w:t>
      </w:r>
      <w:r w:rsidRPr="00E039B2">
        <w:rPr>
          <w:rFonts w:ascii="Arial" w:eastAsia="Times New Roman" w:hAnsi="Arial" w:cs="Arial"/>
        </w:rPr>
        <w:t xml:space="preserve">, Other Postemployment Benefits, for additional information regarding retiree health benefits. </w:t>
      </w:r>
    </w:p>
    <w:p w14:paraId="1E8350FE" w14:textId="77777777" w:rsidR="00AA200E" w:rsidRPr="00E039B2" w:rsidRDefault="00AA200E" w:rsidP="00AA200E">
      <w:pPr>
        <w:numPr>
          <w:ilvl w:val="0"/>
          <w:numId w:val="16"/>
        </w:numPr>
        <w:tabs>
          <w:tab w:val="num" w:pos="2304"/>
        </w:tabs>
        <w:spacing w:after="240" w:line="240" w:lineRule="auto"/>
        <w:ind w:left="1800" w:firstLine="0"/>
        <w:jc w:val="both"/>
        <w:rPr>
          <w:rFonts w:ascii="Arial" w:eastAsia="Times New Roman" w:hAnsi="Arial" w:cs="Arial"/>
          <w:b/>
          <w:bCs/>
          <w:iCs/>
        </w:rPr>
      </w:pPr>
      <w:r w:rsidRPr="00E039B2">
        <w:rPr>
          <w:rFonts w:ascii="Arial" w:eastAsia="Times New Roman" w:hAnsi="Arial" w:cs="Arial"/>
          <w:b/>
          <w:bCs/>
          <w:iCs/>
        </w:rPr>
        <w:t>Death Benefit Plan of North Carolina</w:t>
      </w:r>
    </w:p>
    <w:p w14:paraId="2EC6F0D3" w14:textId="77777777" w:rsidR="00AA200E" w:rsidRPr="00E039B2" w:rsidRDefault="00AA200E" w:rsidP="00AA200E">
      <w:pPr>
        <w:spacing w:after="240" w:line="240" w:lineRule="auto"/>
        <w:ind w:left="2304"/>
        <w:jc w:val="both"/>
        <w:rPr>
          <w:rFonts w:ascii="Arial" w:eastAsia="Times New Roman" w:hAnsi="Arial" w:cs="Arial"/>
        </w:rPr>
      </w:pPr>
      <w:r w:rsidRPr="00E039B2">
        <w:rPr>
          <w:rFonts w:ascii="Arial" w:eastAsia="Times New Roman" w:hAnsi="Arial" w:cs="Arial"/>
        </w:rPr>
        <w:lastRenderedPageBreak/>
        <w:t xml:space="preserve">Term life insurance (death benefits) of $25,000 to $50,000 is provided to eligible workers </w:t>
      </w:r>
      <w:r w:rsidRPr="00E039B2">
        <w:rPr>
          <w:rFonts w:ascii="Arial" w:eastAsia="Times New Roman" w:hAnsi="Arial" w:cs="Arial"/>
          <w:highlight w:val="yellow"/>
        </w:rPr>
        <w:t>who enroll in the Teachers’ and State Employees’ Retirement System</w:t>
      </w:r>
      <w:r w:rsidRPr="00E039B2">
        <w:rPr>
          <w:rFonts w:ascii="Arial" w:eastAsia="Times New Roman" w:hAnsi="Arial" w:cs="Arial"/>
        </w:rPr>
        <w:t>. This Death Benefit Plan is administered by the State Treasurer and funded via employer contributions. The employer contribution rate was 0.16% for the current fiscal year.</w:t>
      </w:r>
    </w:p>
    <w:p w14:paraId="21118C3F" w14:textId="77777777" w:rsidR="00AA200E" w:rsidRPr="00E039B2" w:rsidRDefault="00AA200E" w:rsidP="00AA200E">
      <w:pPr>
        <w:numPr>
          <w:ilvl w:val="0"/>
          <w:numId w:val="16"/>
        </w:numPr>
        <w:tabs>
          <w:tab w:val="num" w:pos="2304"/>
        </w:tabs>
        <w:spacing w:after="240" w:line="240" w:lineRule="auto"/>
        <w:ind w:left="1800" w:firstLine="0"/>
        <w:jc w:val="both"/>
        <w:rPr>
          <w:rFonts w:ascii="Arial" w:eastAsia="Times New Roman" w:hAnsi="Arial" w:cs="Arial"/>
          <w:b/>
          <w:bCs/>
          <w:iCs/>
        </w:rPr>
      </w:pPr>
      <w:r w:rsidRPr="00E039B2">
        <w:rPr>
          <w:rFonts w:ascii="Arial" w:eastAsia="Times New Roman" w:hAnsi="Arial" w:cs="Arial"/>
          <w:b/>
          <w:bCs/>
          <w:iCs/>
        </w:rPr>
        <w:t>Disability Income Plan</w:t>
      </w:r>
    </w:p>
    <w:p w14:paraId="393E0C34" w14:textId="77777777" w:rsidR="00AA200E" w:rsidRPr="00E039B2" w:rsidRDefault="00AA200E" w:rsidP="00AA200E">
      <w:pPr>
        <w:spacing w:after="240" w:line="240" w:lineRule="auto"/>
        <w:ind w:left="2304"/>
        <w:jc w:val="both"/>
        <w:rPr>
          <w:rFonts w:ascii="Arial" w:eastAsia="Times New Roman" w:hAnsi="Arial" w:cs="Arial"/>
        </w:rPr>
      </w:pPr>
      <w:r w:rsidRPr="00E039B2">
        <w:rPr>
          <w:rFonts w:ascii="Arial" w:eastAsia="Times New Roman" w:hAnsi="Arial" w:cs="Arial"/>
        </w:rPr>
        <w:t xml:space="preserve">Short-term and long-term disability benefits are provided to Department employees through the Disability Income Plan of North Carolina (DIPNC), part of the State’s Pension and Other Employee Benefit Trust Funds. Short-term benefits are paid by the Department up to the first six months of benefits and reimbursed by DIPNC for any additional short-term benefits. As discussed in Note </w:t>
      </w:r>
      <w:r w:rsidRPr="00E039B2">
        <w:rPr>
          <w:rFonts w:ascii="Arial" w:eastAsia="Times New Roman" w:hAnsi="Arial" w:cs="Arial"/>
          <w:b/>
          <w:color w:val="0000FF"/>
        </w:rPr>
        <w:t>XX [Refer to the OPEB Note]</w:t>
      </w:r>
      <w:r w:rsidRPr="00E039B2">
        <w:rPr>
          <w:rFonts w:ascii="Arial" w:eastAsia="Times New Roman" w:hAnsi="Arial" w:cs="Arial"/>
        </w:rPr>
        <w:t xml:space="preserve">, long-term disability benefits are payable as other postemployment benefits from DIPNC after the conclusion of the short-term disability period or after salary continuation payments cease, whichever is later, for as long as an employee is disabled.  </w:t>
      </w:r>
    </w:p>
    <w:p w14:paraId="1C66ED07" w14:textId="77777777" w:rsidR="00AA200E" w:rsidRPr="00E039B2" w:rsidRDefault="00AA200E" w:rsidP="00AA200E">
      <w:pPr>
        <w:numPr>
          <w:ilvl w:val="0"/>
          <w:numId w:val="17"/>
        </w:numPr>
        <w:spacing w:after="240" w:line="240" w:lineRule="auto"/>
        <w:jc w:val="both"/>
        <w:rPr>
          <w:rFonts w:ascii="Arial" w:eastAsia="Times New Roman" w:hAnsi="Arial" w:cs="Arial"/>
          <w:b/>
        </w:rPr>
      </w:pPr>
      <w:r w:rsidRPr="00E039B2">
        <w:rPr>
          <w:rFonts w:ascii="Arial" w:eastAsia="Times New Roman" w:hAnsi="Arial" w:cs="Arial"/>
          <w:b/>
        </w:rPr>
        <w:t>Other Risk Management and Insurance Activities</w:t>
      </w:r>
    </w:p>
    <w:p w14:paraId="339FD99F" w14:textId="77777777" w:rsidR="00AA200E" w:rsidRPr="00E039B2" w:rsidRDefault="00AA200E" w:rsidP="00AA200E">
      <w:pPr>
        <w:numPr>
          <w:ilvl w:val="0"/>
          <w:numId w:val="37"/>
        </w:numPr>
        <w:spacing w:after="240" w:line="240" w:lineRule="auto"/>
        <w:jc w:val="both"/>
        <w:rPr>
          <w:rFonts w:ascii="Arial" w:eastAsia="Times New Roman" w:hAnsi="Arial" w:cs="Arial"/>
          <w:b/>
          <w:bCs/>
          <w:iCs/>
        </w:rPr>
      </w:pPr>
      <w:r w:rsidRPr="00E039B2">
        <w:rPr>
          <w:rFonts w:ascii="Arial" w:eastAsia="Times New Roman" w:hAnsi="Arial" w:cs="Arial"/>
          <w:b/>
          <w:bCs/>
          <w:iCs/>
        </w:rPr>
        <w:t>Automobile, Fire, and Other Property Losses</w:t>
      </w:r>
    </w:p>
    <w:p w14:paraId="166C6575" w14:textId="77777777" w:rsidR="00AA200E" w:rsidRPr="00E039B2" w:rsidRDefault="00AA200E" w:rsidP="00AA200E">
      <w:pPr>
        <w:spacing w:after="240" w:line="240" w:lineRule="auto"/>
        <w:ind w:left="2304"/>
        <w:jc w:val="both"/>
        <w:rPr>
          <w:rFonts w:ascii="Arial" w:eastAsia="Times New Roman" w:hAnsi="Arial" w:cs="Arial"/>
          <w:b/>
          <w:i/>
        </w:rPr>
      </w:pPr>
      <w:r w:rsidRPr="00E039B2">
        <w:rPr>
          <w:rFonts w:ascii="Arial" w:eastAsia="Times New Roman" w:hAnsi="Arial" w:cs="Arial"/>
          <w:bCs/>
          <w:iCs/>
        </w:rPr>
        <w:t xml:space="preserve">The Department is required to maintain fire and lightning coverage on all state-owned buildings and contents through the State Property Fire Insurance Fund (Fund), an internal service fund of the State. Such coverage is provided at no cost to the Department for operations supported by the State’s General Fund. Other operations not supported by the State’s General Fund are charged for the coverage. Losses covered by the Fund are subject to a $5,000 per occurrence deductible. However, some agencies have chosen a higher deductible for a reduction in premium. </w:t>
      </w:r>
      <w:r w:rsidRPr="00E039B2">
        <w:rPr>
          <w:rFonts w:ascii="Arial" w:eastAsia="Times New Roman" w:hAnsi="Arial" w:cs="Arial"/>
          <w:b/>
          <w:i/>
          <w:color w:val="0000FF"/>
        </w:rPr>
        <w:t>[Revise previous sentence if a different deductible amount has been purchased for fire coverage.] [Add information to describe the additional types of coverage purchased (for example, extended coverage for buildings and contents, sprinkler leakage, vandalism, theft, flood, wind, “all risks”) and whether applicable to all buildings and contents of the entity or just certain ones. Describe coverage amounts and deductibles.]</w:t>
      </w:r>
    </w:p>
    <w:p w14:paraId="577CF1EC" w14:textId="77777777" w:rsidR="00AA200E" w:rsidRPr="00E039B2" w:rsidRDefault="00AA200E" w:rsidP="00AA200E">
      <w:pPr>
        <w:spacing w:after="240" w:line="240" w:lineRule="auto"/>
        <w:ind w:left="2304"/>
        <w:jc w:val="both"/>
        <w:rPr>
          <w:rFonts w:ascii="Arial" w:eastAsia="Times New Roman" w:hAnsi="Arial" w:cs="Arial"/>
        </w:rPr>
      </w:pPr>
      <w:r w:rsidRPr="00E039B2">
        <w:rPr>
          <w:rFonts w:ascii="Arial" w:eastAsia="Times New Roman" w:hAnsi="Arial" w:cs="Arial"/>
        </w:rPr>
        <w:t>All state-owned vehicles are covered by liability insurance through a private insurance company and handled by the North Carolina Department of Insurance. The liability limits for losses are $1,000,000 per claim and $10,000,000 per occurrence. The Department pays premiums to the North Carolina Department of Insurance for the coverage.</w:t>
      </w:r>
    </w:p>
    <w:p w14:paraId="6F59E251" w14:textId="77777777" w:rsidR="00AA200E" w:rsidRPr="00E039B2" w:rsidRDefault="00AA200E" w:rsidP="00AA200E">
      <w:pPr>
        <w:numPr>
          <w:ilvl w:val="0"/>
          <w:numId w:val="37"/>
        </w:numPr>
        <w:spacing w:after="240" w:line="240" w:lineRule="auto"/>
        <w:jc w:val="both"/>
        <w:rPr>
          <w:rFonts w:ascii="Arial" w:eastAsia="Times New Roman" w:hAnsi="Arial" w:cs="Arial"/>
          <w:b/>
          <w:bCs/>
          <w:iCs/>
        </w:rPr>
      </w:pPr>
      <w:r w:rsidRPr="00E039B2">
        <w:rPr>
          <w:rFonts w:ascii="Arial" w:eastAsia="Times New Roman" w:hAnsi="Arial" w:cs="Arial"/>
          <w:b/>
          <w:bCs/>
          <w:iCs/>
        </w:rPr>
        <w:t>Public Officers’ and Employees’ Liability Insurance</w:t>
      </w:r>
    </w:p>
    <w:p w14:paraId="664C39BB" w14:textId="77777777" w:rsidR="00AA200E" w:rsidRPr="00E039B2" w:rsidRDefault="00AA200E" w:rsidP="00AA200E">
      <w:pPr>
        <w:spacing w:after="240" w:line="240" w:lineRule="auto"/>
        <w:ind w:left="2304"/>
        <w:jc w:val="both"/>
        <w:rPr>
          <w:rFonts w:ascii="Arial" w:eastAsia="Times New Roman" w:hAnsi="Arial" w:cs="Arial"/>
        </w:rPr>
      </w:pPr>
      <w:r w:rsidRPr="00E039B2">
        <w:rPr>
          <w:rFonts w:ascii="Arial" w:eastAsia="Times New Roman" w:hAnsi="Arial" w:cs="Arial"/>
        </w:rPr>
        <w:t xml:space="preserve">The risk of tort claims of up to $1,000,000 per claimant is retained under the authority of the State Tort Claims Act. In addition, the State </w:t>
      </w:r>
      <w:r w:rsidRPr="00E039B2">
        <w:rPr>
          <w:rFonts w:ascii="Arial" w:eastAsia="Times New Roman" w:hAnsi="Arial" w:cs="Arial"/>
        </w:rPr>
        <w:lastRenderedPageBreak/>
        <w:t xml:space="preserve">provides excess public officers’ and employees’ liability insurance up to </w:t>
      </w:r>
      <w:r w:rsidRPr="00E039B2">
        <w:rPr>
          <w:rFonts w:ascii="Arial" w:eastAsia="Times New Roman" w:hAnsi="Arial" w:cs="Arial"/>
          <w:highlight w:val="yellow"/>
        </w:rPr>
        <w:t>$2,000,000 per claim</w:t>
      </w:r>
      <w:r w:rsidRPr="00E039B2">
        <w:rPr>
          <w:rFonts w:ascii="Arial" w:eastAsia="Times New Roman" w:hAnsi="Arial" w:cs="Arial"/>
        </w:rPr>
        <w:t xml:space="preserve"> and $10,000,000 </w:t>
      </w:r>
      <w:r w:rsidRPr="00E039B2">
        <w:rPr>
          <w:rFonts w:ascii="Arial" w:eastAsia="Times New Roman" w:hAnsi="Arial" w:cs="Arial"/>
          <w:highlight w:val="yellow"/>
        </w:rPr>
        <w:t>in the aggregate per fiscal year</w:t>
      </w:r>
      <w:r w:rsidRPr="00E039B2">
        <w:rPr>
          <w:rFonts w:ascii="Arial" w:eastAsia="Times New Roman" w:hAnsi="Arial" w:cs="Arial"/>
        </w:rPr>
        <w:t xml:space="preserve"> via contract with a private insurance company. The Department pays the premium, based on a composite rate, directly to the private insurer.</w:t>
      </w:r>
    </w:p>
    <w:p w14:paraId="154FA1F7" w14:textId="77777777" w:rsidR="00AA200E" w:rsidRPr="00E039B2" w:rsidRDefault="00AA200E" w:rsidP="00AA200E">
      <w:pPr>
        <w:numPr>
          <w:ilvl w:val="0"/>
          <w:numId w:val="37"/>
        </w:numPr>
        <w:spacing w:after="240" w:line="240" w:lineRule="auto"/>
        <w:jc w:val="both"/>
        <w:rPr>
          <w:rFonts w:ascii="Arial" w:eastAsia="Times New Roman" w:hAnsi="Arial" w:cs="Arial"/>
          <w:b/>
          <w:bCs/>
          <w:iCs/>
        </w:rPr>
      </w:pPr>
      <w:r w:rsidRPr="00E039B2">
        <w:rPr>
          <w:rFonts w:ascii="Arial" w:eastAsia="Times New Roman" w:hAnsi="Arial" w:cs="Arial"/>
          <w:b/>
          <w:bCs/>
          <w:iCs/>
        </w:rPr>
        <w:t>Employee Dishonesty and Computer Fraud</w:t>
      </w:r>
    </w:p>
    <w:p w14:paraId="2B052AD7" w14:textId="77777777" w:rsidR="00AA200E" w:rsidRPr="00E039B2" w:rsidRDefault="00AA200E" w:rsidP="00AA200E">
      <w:pPr>
        <w:spacing w:after="240" w:line="240" w:lineRule="auto"/>
        <w:ind w:left="2304"/>
        <w:jc w:val="both"/>
        <w:rPr>
          <w:rFonts w:ascii="Arial" w:eastAsia="Times New Roman" w:hAnsi="Arial" w:cs="Arial"/>
        </w:rPr>
      </w:pPr>
      <w:r w:rsidRPr="00E039B2">
        <w:rPr>
          <w:rFonts w:ascii="Arial" w:eastAsia="Times New Roman" w:hAnsi="Arial" w:cs="Arial"/>
        </w:rPr>
        <w:t xml:space="preserve">The Department is protected for losses from employee dishonesty and computer fraud. This coverage is with a private insurance company and is handled by the North Carolina Department of Insurance. The Department is charged a premium by the private insurance company. Coverage limit is $5,000,000 per occurrence. The private insurance company pays 90% of each loss less a $100,000 deductible. </w:t>
      </w:r>
    </w:p>
    <w:p w14:paraId="00495718" w14:textId="77777777" w:rsidR="00AA200E" w:rsidRPr="00E039B2" w:rsidRDefault="00AA200E" w:rsidP="00AA200E">
      <w:pPr>
        <w:numPr>
          <w:ilvl w:val="0"/>
          <w:numId w:val="37"/>
        </w:numPr>
        <w:spacing w:after="240" w:line="240" w:lineRule="auto"/>
        <w:jc w:val="both"/>
        <w:rPr>
          <w:rFonts w:ascii="Arial" w:eastAsia="Times New Roman" w:hAnsi="Arial" w:cs="Arial"/>
          <w:b/>
          <w:bCs/>
          <w:iCs/>
        </w:rPr>
      </w:pPr>
      <w:r w:rsidRPr="00E039B2">
        <w:rPr>
          <w:rFonts w:ascii="Arial" w:eastAsia="Times New Roman" w:hAnsi="Arial" w:cs="Arial"/>
          <w:b/>
          <w:bCs/>
          <w:iCs/>
        </w:rPr>
        <w:t>Statewide Workers’ Compensation Program</w:t>
      </w:r>
    </w:p>
    <w:p w14:paraId="189EF728" w14:textId="77777777" w:rsidR="00AA200E" w:rsidRPr="00E039B2" w:rsidRDefault="00AA200E" w:rsidP="00AA200E">
      <w:pPr>
        <w:spacing w:after="240" w:line="240" w:lineRule="auto"/>
        <w:ind w:left="2304"/>
        <w:jc w:val="both"/>
        <w:rPr>
          <w:rFonts w:ascii="Arial" w:eastAsia="Times New Roman" w:hAnsi="Arial" w:cs="Arial"/>
          <w:b/>
          <w:i/>
          <w:color w:val="0000FF"/>
        </w:rPr>
      </w:pPr>
      <w:r w:rsidRPr="00E039B2">
        <w:rPr>
          <w:rFonts w:ascii="Arial" w:eastAsia="Times New Roman" w:hAnsi="Arial" w:cs="Arial"/>
        </w:rPr>
        <w:t xml:space="preserve">The North Carolina Workers’ Compensation Program provides benefits to workers injured on the job. All employees of the State and its component units are included in the program. When an employee is injured, the Department’s primary responsibility is to arrange for and provide the necessary treatment for work related injury. The Department is responsible for paying medical benefits and compensation in accordance with the North Carolina Workers’ Compensation Act. The Department retains the risk for workers’ compensation. </w:t>
      </w:r>
    </w:p>
    <w:p w14:paraId="257C7F4B" w14:textId="77777777" w:rsidR="00AA200E" w:rsidRPr="00E039B2" w:rsidRDefault="00AA200E" w:rsidP="00AA200E">
      <w:pPr>
        <w:spacing w:after="240" w:line="240" w:lineRule="auto"/>
        <w:ind w:left="2304"/>
        <w:jc w:val="both"/>
        <w:rPr>
          <w:rFonts w:ascii="Arial" w:eastAsia="Times New Roman" w:hAnsi="Arial" w:cs="Arial"/>
        </w:rPr>
      </w:pPr>
      <w:r w:rsidRPr="00E039B2">
        <w:rPr>
          <w:rFonts w:ascii="Arial" w:eastAsia="Times New Roman" w:hAnsi="Arial" w:cs="Arial"/>
        </w:rPr>
        <w:t xml:space="preserve">Additional details on the state-administered risk management programs are disclosed in the State’s </w:t>
      </w:r>
      <w:r w:rsidRPr="00E039B2">
        <w:rPr>
          <w:rFonts w:ascii="Arial" w:eastAsia="Times New Roman" w:hAnsi="Arial" w:cs="Arial"/>
          <w:i/>
        </w:rPr>
        <w:t>Comprehensive Annual Financial Report</w:t>
      </w:r>
      <w:r w:rsidRPr="00E039B2">
        <w:rPr>
          <w:rFonts w:ascii="Arial" w:eastAsia="Times New Roman" w:hAnsi="Arial" w:cs="Arial"/>
        </w:rPr>
        <w:t>, issued by the Office of the State Controller.</w:t>
      </w:r>
    </w:p>
    <w:p w14:paraId="342C2636" w14:textId="77777777" w:rsidR="00AA200E" w:rsidRPr="00E039B2" w:rsidRDefault="00AA200E" w:rsidP="00AA200E">
      <w:pPr>
        <w:numPr>
          <w:ilvl w:val="0"/>
          <w:numId w:val="37"/>
        </w:numPr>
        <w:spacing w:after="240" w:line="240" w:lineRule="auto"/>
        <w:jc w:val="both"/>
        <w:rPr>
          <w:rFonts w:ascii="Arial" w:eastAsia="Times New Roman" w:hAnsi="Arial" w:cs="Arial"/>
          <w:b/>
          <w:bCs/>
          <w:iCs/>
        </w:rPr>
      </w:pPr>
      <w:r w:rsidRPr="00E039B2">
        <w:rPr>
          <w:rFonts w:ascii="Arial" w:eastAsia="Times New Roman" w:hAnsi="Arial" w:cs="Arial"/>
          <w:b/>
          <w:bCs/>
          <w:iCs/>
        </w:rPr>
        <w:t>Other Insurance Held by the Department</w:t>
      </w:r>
    </w:p>
    <w:p w14:paraId="1CC2B9FD" w14:textId="77777777" w:rsidR="00AA200E" w:rsidRPr="00E039B2" w:rsidRDefault="00AA200E" w:rsidP="00AA200E">
      <w:pPr>
        <w:spacing w:after="240" w:line="240" w:lineRule="auto"/>
        <w:ind w:left="2304"/>
        <w:jc w:val="both"/>
        <w:rPr>
          <w:rFonts w:ascii="Arial" w:eastAsia="Times New Roman" w:hAnsi="Arial" w:cs="Arial"/>
          <w:b/>
          <w:bCs/>
          <w:i/>
          <w:iCs/>
          <w:color w:val="0000FF"/>
        </w:rPr>
      </w:pPr>
      <w:r w:rsidRPr="00E039B2">
        <w:rPr>
          <w:rFonts w:ascii="Arial" w:eastAsia="Times New Roman" w:hAnsi="Arial" w:cs="Arial"/>
          <w:b/>
          <w:bCs/>
          <w:i/>
          <w:iCs/>
          <w:color w:val="0000FF"/>
        </w:rPr>
        <w:t xml:space="preserve">[Add the following paragraph to disclose any material retained risk not disclosed elsewhere in this note as required by GASB </w:t>
      </w:r>
      <w:r w:rsidRPr="00E039B2">
        <w:rPr>
          <w:rFonts w:ascii="Arial" w:eastAsia="Times New Roman" w:hAnsi="Arial" w:cs="Arial"/>
          <w:b/>
          <w:bCs/>
          <w:i/>
          <w:iCs/>
          <w:color w:val="0000FF"/>
          <w:highlight w:val="yellow"/>
        </w:rPr>
        <w:t>10</w:t>
      </w:r>
      <w:r w:rsidRPr="00E039B2">
        <w:rPr>
          <w:rFonts w:ascii="Arial" w:eastAsia="Times New Roman" w:hAnsi="Arial" w:cs="Arial"/>
          <w:b/>
          <w:bCs/>
          <w:i/>
          <w:iCs/>
          <w:color w:val="0000FF"/>
        </w:rPr>
        <w:t xml:space="preserve">. (For Example </w:t>
      </w:r>
      <w:r w:rsidRPr="00E039B2">
        <w:rPr>
          <w:rFonts w:ascii="Arial" w:eastAsia="Times New Roman" w:hAnsi="Arial" w:cs="Arial"/>
          <w:bCs/>
          <w:i/>
          <w:iCs/>
          <w:color w:val="0000FF"/>
        </w:rPr>
        <w:t>-</w:t>
      </w:r>
      <w:r w:rsidRPr="00E039B2">
        <w:rPr>
          <w:rFonts w:ascii="Arial" w:eastAsia="Times New Roman" w:hAnsi="Arial" w:cs="Arial"/>
          <w:b/>
          <w:bCs/>
          <w:i/>
          <w:iCs/>
          <w:color w:val="0000FF"/>
        </w:rPr>
        <w:t xml:space="preserve"> medical malpractice.)]</w:t>
      </w:r>
    </w:p>
    <w:p w14:paraId="7565E69D" w14:textId="3E48E8E3" w:rsidR="00AA200E" w:rsidRPr="00E039B2" w:rsidRDefault="00AA200E" w:rsidP="00AA200E">
      <w:pPr>
        <w:spacing w:after="240" w:line="240" w:lineRule="auto"/>
        <w:ind w:left="2304"/>
        <w:jc w:val="both"/>
        <w:rPr>
          <w:rFonts w:ascii="Arial" w:eastAsia="Times New Roman" w:hAnsi="Arial" w:cs="Arial"/>
          <w:b/>
          <w:i/>
          <w:color w:val="0000FF"/>
        </w:rPr>
      </w:pPr>
      <w:r w:rsidRPr="00E039B2">
        <w:rPr>
          <w:rFonts w:ascii="Arial" w:eastAsia="Times New Roman" w:hAnsi="Arial" w:cs="Arial"/>
        </w:rPr>
        <w:t xml:space="preserve">The Department retained the following risks as of June 30, </w:t>
      </w:r>
      <w:r w:rsidRPr="00E039B2">
        <w:rPr>
          <w:rFonts w:ascii="Arial" w:eastAsia="Times New Roman" w:hAnsi="Arial" w:cs="Arial"/>
          <w:highlight w:val="yellow"/>
        </w:rPr>
        <w:t>2020</w:t>
      </w:r>
      <w:r w:rsidRPr="00E039B2">
        <w:rPr>
          <w:rFonts w:ascii="Arial" w:eastAsia="Times New Roman" w:hAnsi="Arial" w:cs="Arial"/>
        </w:rPr>
        <w:t xml:space="preserve">: </w:t>
      </w:r>
      <w:r w:rsidRPr="00E039B2">
        <w:rPr>
          <w:rFonts w:ascii="Arial" w:eastAsia="Times New Roman" w:hAnsi="Arial" w:cs="Arial"/>
          <w:b/>
          <w:i/>
          <w:color w:val="0000FF"/>
        </w:rPr>
        <w:t>[Describe the risks retained by the Department and applicable liabilities. See GASB 10 for disclosure requirements.]</w:t>
      </w:r>
    </w:p>
    <w:p w14:paraId="614D0EB8" w14:textId="77777777" w:rsidR="00AA200E" w:rsidRPr="00E039B2" w:rsidRDefault="00AA200E" w:rsidP="00AA200E">
      <w:pPr>
        <w:spacing w:after="240" w:line="240" w:lineRule="auto"/>
        <w:ind w:left="2304"/>
        <w:jc w:val="both"/>
        <w:rPr>
          <w:rFonts w:ascii="Arial" w:eastAsia="Times New Roman" w:hAnsi="Arial" w:cs="Arial"/>
          <w:b/>
          <w:i/>
          <w:color w:val="0000FF"/>
        </w:rPr>
      </w:pPr>
      <w:r w:rsidRPr="00E039B2">
        <w:rPr>
          <w:rFonts w:ascii="Arial" w:eastAsia="Times New Roman" w:hAnsi="Arial" w:cs="Arial"/>
          <w:b/>
          <w:i/>
          <w:color w:val="0000FF"/>
        </w:rPr>
        <w:t>[Add the following paragraph if other private insurance was purchased to address risks that could be of a material nature.]</w:t>
      </w:r>
    </w:p>
    <w:p w14:paraId="643A8215" w14:textId="77777777" w:rsidR="00AA200E" w:rsidRPr="00E039B2" w:rsidRDefault="00AA200E" w:rsidP="00AA200E">
      <w:pPr>
        <w:spacing w:after="240" w:line="240" w:lineRule="auto"/>
        <w:ind w:left="2304"/>
        <w:jc w:val="both"/>
        <w:rPr>
          <w:rFonts w:ascii="Arial" w:eastAsia="Times New Roman" w:hAnsi="Arial" w:cs="Arial"/>
          <w:b/>
          <w:i/>
          <w:color w:val="0000FF"/>
        </w:rPr>
      </w:pPr>
      <w:r w:rsidRPr="00E039B2">
        <w:rPr>
          <w:rFonts w:ascii="Arial" w:eastAsia="Times New Roman" w:hAnsi="Arial" w:cs="Arial"/>
        </w:rPr>
        <w:t xml:space="preserve">The Department purchased other authorized coverage from private insurance companies through the North Carolina Department of Insurance. </w:t>
      </w:r>
      <w:r w:rsidRPr="00E039B2">
        <w:rPr>
          <w:rFonts w:ascii="Arial" w:eastAsia="Times New Roman" w:hAnsi="Arial" w:cs="Arial"/>
          <w:b/>
          <w:i/>
          <w:color w:val="0000FF"/>
        </w:rPr>
        <w:t>[Describe other types of insurance purchased and applicable coverage. See GASB 10 for disclosure requirements.]</w:t>
      </w:r>
    </w:p>
    <w:p w14:paraId="3ED093D1" w14:textId="1E61CEA5" w:rsidR="00AA200E" w:rsidRPr="00E039B2" w:rsidRDefault="00AA200E" w:rsidP="00AA200E">
      <w:pPr>
        <w:spacing w:after="240" w:line="240" w:lineRule="auto"/>
        <w:ind w:left="2304"/>
        <w:jc w:val="both"/>
        <w:rPr>
          <w:rFonts w:ascii="Arial" w:eastAsia="Times New Roman" w:hAnsi="Arial" w:cs="Arial"/>
          <w:b/>
          <w:bCs/>
          <w:i/>
          <w:iCs/>
          <w:color w:val="0000FF"/>
        </w:rPr>
      </w:pPr>
      <w:r w:rsidRPr="00E039B2">
        <w:rPr>
          <w:rFonts w:ascii="Arial" w:eastAsia="Times New Roman" w:hAnsi="Arial" w:cs="Arial"/>
          <w:b/>
          <w:bCs/>
          <w:i/>
          <w:iCs/>
          <w:color w:val="0000FF"/>
        </w:rPr>
        <w:t>[Also disclose any material events related to risk management occurring during the fiscal year or after the balance sheet date.]</w:t>
      </w:r>
    </w:p>
    <w:p w14:paraId="4D9A5AB8" w14:textId="77777777" w:rsidR="00FE2C64" w:rsidRPr="00E039B2" w:rsidRDefault="00FE2C64" w:rsidP="00FE2C64">
      <w:pPr>
        <w:tabs>
          <w:tab w:val="left" w:pos="1080"/>
        </w:tabs>
        <w:spacing w:before="480" w:after="240" w:line="240" w:lineRule="auto"/>
        <w:rPr>
          <w:rFonts w:ascii="Arial" w:eastAsia="Times New Roman" w:hAnsi="Arial" w:cs="Arial"/>
          <w:b/>
          <w:smallCaps/>
        </w:rPr>
      </w:pPr>
      <w:r w:rsidRPr="00E039B2">
        <w:rPr>
          <w:rFonts w:ascii="Arial" w:eastAsia="Times New Roman" w:hAnsi="Arial" w:cs="Arial"/>
          <w:b/>
          <w:smallCaps/>
        </w:rPr>
        <w:lastRenderedPageBreak/>
        <w:t>Note 16</w:t>
      </w:r>
      <w:r w:rsidRPr="00E039B2">
        <w:rPr>
          <w:rFonts w:ascii="Arial" w:eastAsia="Times New Roman" w:hAnsi="Arial" w:cs="Arial"/>
          <w:b/>
          <w:smallCaps/>
        </w:rPr>
        <w:tab/>
        <w:t>-</w:t>
      </w:r>
      <w:r w:rsidRPr="00E039B2">
        <w:rPr>
          <w:rFonts w:ascii="Arial" w:eastAsia="Times New Roman" w:hAnsi="Arial" w:cs="Arial"/>
          <w:b/>
          <w:smallCaps/>
        </w:rPr>
        <w:tab/>
        <w:t>Related Parties</w:t>
      </w:r>
    </w:p>
    <w:p w14:paraId="35972820" w14:textId="77777777" w:rsidR="00FE2C64" w:rsidRPr="00E039B2" w:rsidRDefault="00FE2C64" w:rsidP="00FE2C64">
      <w:pPr>
        <w:spacing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t xml:space="preserve">[Describe related parties and disclose the nature and amount of transactions between the Department and the related party. </w:t>
      </w:r>
      <w:r w:rsidRPr="00E039B2">
        <w:rPr>
          <w:rFonts w:ascii="Arial" w:eastAsia="Times New Roman" w:hAnsi="Arial" w:cs="Arial"/>
          <w:b/>
          <w:i/>
          <w:color w:val="0000FF"/>
          <w:highlight w:val="yellow"/>
        </w:rPr>
        <w:t>See GASB Codification Section 2250.103 for example]</w:t>
      </w:r>
    </w:p>
    <w:p w14:paraId="02EB20F4" w14:textId="26AB813E" w:rsidR="00FE2C64" w:rsidRPr="00E039B2" w:rsidRDefault="00FE2C64" w:rsidP="00FE2C64">
      <w:pPr>
        <w:spacing w:after="240" w:line="240" w:lineRule="auto"/>
        <w:ind w:left="1440"/>
        <w:jc w:val="both"/>
        <w:rPr>
          <w:rFonts w:ascii="Arial" w:eastAsia="Times New Roman" w:hAnsi="Arial" w:cs="Arial"/>
          <w:b/>
          <w:i/>
          <w:color w:val="0000FF"/>
        </w:rPr>
      </w:pPr>
      <w:r w:rsidRPr="00E039B2">
        <w:rPr>
          <w:rFonts w:ascii="Arial" w:eastAsia="Times New Roman" w:hAnsi="Arial" w:cs="Arial"/>
        </w:rPr>
        <w:t xml:space="preserve">These organizations serve to </w:t>
      </w:r>
      <w:r w:rsidRPr="00E039B2">
        <w:rPr>
          <w:rFonts w:ascii="Arial" w:eastAsia="Times New Roman" w:hAnsi="Arial" w:cs="Arial"/>
          <w:b/>
          <w:color w:val="0000FF"/>
        </w:rPr>
        <w:t>[relation to Department]</w:t>
      </w:r>
      <w:r w:rsidRPr="00E039B2">
        <w:rPr>
          <w:rFonts w:ascii="Arial" w:eastAsia="Times New Roman" w:hAnsi="Arial" w:cs="Arial"/>
        </w:rPr>
        <w:t xml:space="preserve">. The Department’s financial statements do not include the assets, liabilities, net position, or operational transactions of the entity, except for support from each organization to the Department. This support approximated $_______ for the year ended June 30, </w:t>
      </w:r>
      <w:r w:rsidRPr="00E039B2">
        <w:rPr>
          <w:rFonts w:ascii="Arial" w:eastAsia="Times New Roman" w:hAnsi="Arial" w:cs="Arial"/>
          <w:highlight w:val="yellow"/>
        </w:rPr>
        <w:t>2020</w:t>
      </w:r>
      <w:r w:rsidRPr="00E039B2">
        <w:rPr>
          <w:rFonts w:ascii="Arial" w:eastAsia="Times New Roman" w:hAnsi="Arial" w:cs="Arial"/>
        </w:rPr>
        <w:t xml:space="preserve">. The Department had receivables from and payables to related party(ies) of $______ and $_______, respectively, as of June 30, </w:t>
      </w:r>
      <w:r w:rsidRPr="00E039B2">
        <w:rPr>
          <w:rFonts w:ascii="Arial" w:eastAsia="Times New Roman" w:hAnsi="Arial" w:cs="Arial"/>
          <w:highlight w:val="yellow"/>
        </w:rPr>
        <w:t>2020</w:t>
      </w:r>
      <w:r w:rsidRPr="00E039B2">
        <w:rPr>
          <w:rFonts w:ascii="Arial" w:eastAsia="Times New Roman" w:hAnsi="Arial" w:cs="Arial"/>
        </w:rPr>
        <w:t xml:space="preserve">. </w:t>
      </w:r>
      <w:r w:rsidRPr="00E039B2">
        <w:rPr>
          <w:rFonts w:ascii="Arial" w:eastAsia="Times New Roman" w:hAnsi="Arial" w:cs="Arial"/>
          <w:b/>
          <w:i/>
          <w:color w:val="0000FF"/>
        </w:rPr>
        <w:t>[Remove receivable and/or payable language if not applicable.]</w:t>
      </w:r>
    </w:p>
    <w:p w14:paraId="39B895C1" w14:textId="7955F1D0" w:rsidR="00A83CBE" w:rsidRPr="00E039B2" w:rsidRDefault="00FE2C64" w:rsidP="00A83CBE">
      <w:pPr>
        <w:spacing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t>[Add additional information as necessary]</w:t>
      </w:r>
    </w:p>
    <w:p w14:paraId="35163030" w14:textId="6B6245BE" w:rsidR="00FE2C64" w:rsidRPr="00E039B2" w:rsidRDefault="00FE2C64" w:rsidP="00FE2C64">
      <w:pPr>
        <w:tabs>
          <w:tab w:val="left" w:pos="1080"/>
        </w:tabs>
        <w:spacing w:before="240" w:after="240" w:line="240" w:lineRule="auto"/>
        <w:rPr>
          <w:rFonts w:ascii="Arial" w:eastAsia="Times New Roman" w:hAnsi="Arial" w:cs="Arial"/>
          <w:b/>
          <w:smallCaps/>
        </w:rPr>
      </w:pPr>
      <w:r w:rsidRPr="00E039B2">
        <w:rPr>
          <w:rFonts w:ascii="Arial" w:eastAsia="Times New Roman" w:hAnsi="Arial" w:cs="Arial"/>
          <w:b/>
          <w:smallCaps/>
        </w:rPr>
        <w:t>Note 17</w:t>
      </w:r>
      <w:r w:rsidRPr="00E039B2">
        <w:rPr>
          <w:rFonts w:ascii="Arial" w:eastAsia="Times New Roman" w:hAnsi="Arial" w:cs="Arial"/>
          <w:b/>
          <w:smallCaps/>
        </w:rPr>
        <w:tab/>
        <w:t>-</w:t>
      </w:r>
      <w:r w:rsidRPr="00E039B2">
        <w:rPr>
          <w:rFonts w:ascii="Arial" w:eastAsia="Times New Roman" w:hAnsi="Arial" w:cs="Arial"/>
          <w:b/>
          <w:smallCaps/>
        </w:rPr>
        <w:tab/>
        <w:t>Commitments and Contingencies</w:t>
      </w:r>
    </w:p>
    <w:p w14:paraId="2F4381CC" w14:textId="77777777" w:rsidR="00FE2C64" w:rsidRPr="00E039B2" w:rsidRDefault="00FE2C64" w:rsidP="00FE2C64">
      <w:pPr>
        <w:tabs>
          <w:tab w:val="left" w:pos="1080"/>
        </w:tabs>
        <w:spacing w:before="240"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t>[Note to Preparer: Modify as necessary. If significant contingencies exist, see GASB 62 paragraphs 106 through 110 for full disclosure requirements]</w:t>
      </w:r>
    </w:p>
    <w:p w14:paraId="4BD73937" w14:textId="55D7D2ED" w:rsidR="00FE2C64" w:rsidRPr="00E039B2" w:rsidRDefault="00FE2C64" w:rsidP="00FE2C64">
      <w:pPr>
        <w:spacing w:after="0" w:line="240" w:lineRule="auto"/>
        <w:ind w:left="1915" w:hanging="475"/>
        <w:jc w:val="both"/>
        <w:rPr>
          <w:rFonts w:ascii="Arial" w:eastAsia="Times New Roman" w:hAnsi="Arial" w:cs="Arial"/>
          <w:b/>
          <w:i/>
          <w:color w:val="0000FF"/>
        </w:rPr>
      </w:pPr>
      <w:r w:rsidRPr="00E039B2">
        <w:rPr>
          <w:rFonts w:ascii="Arial" w:eastAsia="Times New Roman" w:hAnsi="Arial" w:cs="Arial"/>
          <w:b/>
        </w:rPr>
        <w:t>A.</w:t>
      </w:r>
      <w:r w:rsidRPr="00E039B2">
        <w:rPr>
          <w:rFonts w:ascii="Arial" w:eastAsia="Times New Roman" w:hAnsi="Arial" w:cs="Arial"/>
          <w:b/>
        </w:rPr>
        <w:tab/>
        <w:t xml:space="preserve">Federal Grants </w:t>
      </w:r>
      <w:r w:rsidRPr="00E039B2">
        <w:rPr>
          <w:rFonts w:ascii="Arial" w:eastAsia="Times New Roman" w:hAnsi="Arial" w:cs="Arial"/>
        </w:rPr>
        <w:t xml:space="preserve">- The Department receives significant financial assistance from the </w:t>
      </w:r>
      <w:r w:rsidRPr="00E039B2">
        <w:rPr>
          <w:rFonts w:ascii="Arial" w:eastAsia="Times New Roman" w:hAnsi="Arial" w:cs="Arial"/>
          <w:highlight w:val="yellow"/>
        </w:rPr>
        <w:t>f</w:t>
      </w:r>
      <w:r w:rsidRPr="00E039B2">
        <w:rPr>
          <w:rFonts w:ascii="Arial" w:eastAsia="Times New Roman" w:hAnsi="Arial" w:cs="Arial"/>
        </w:rPr>
        <w:t>edera</w:t>
      </w:r>
      <w:r w:rsidR="003C24F6">
        <w:rPr>
          <w:rFonts w:ascii="Arial" w:eastAsia="Times New Roman" w:hAnsi="Arial" w:cs="Arial"/>
        </w:rPr>
        <w:t>l</w:t>
      </w:r>
      <w:r w:rsidRPr="00E039B2">
        <w:rPr>
          <w:rFonts w:ascii="Arial" w:eastAsia="Times New Roman" w:hAnsi="Arial" w:cs="Arial"/>
        </w:rPr>
        <w:t xml:space="preserve"> </w:t>
      </w:r>
      <w:r w:rsidRPr="00E039B2">
        <w:rPr>
          <w:rFonts w:ascii="Arial" w:eastAsia="Times New Roman" w:hAnsi="Arial" w:cs="Arial"/>
          <w:highlight w:val="yellow"/>
        </w:rPr>
        <w:t>g</w:t>
      </w:r>
      <w:r w:rsidRPr="00E039B2">
        <w:rPr>
          <w:rFonts w:ascii="Arial" w:eastAsia="Times New Roman" w:hAnsi="Arial" w:cs="Arial"/>
        </w:rPr>
        <w:t xml:space="preserve">overnment in the form of grants and entitlements, which are generally conditioned upon compliance with terms and conditions of the grant agreements and applicable federal regulations, including the expenditure of the resources for eligible purposes. Under the terms of the grants, periodic audits are required and certain costs may be questioned as not being appropriate expenditures. Any disallowance as a result of questioned costs could become a liability of the Department. As of </w:t>
      </w:r>
      <w:proofErr w:type="gramStart"/>
      <w:r w:rsidRPr="00E039B2">
        <w:rPr>
          <w:rFonts w:ascii="Arial" w:eastAsia="Times New Roman" w:hAnsi="Arial" w:cs="Arial"/>
        </w:rPr>
        <w:t xml:space="preserve">June 30, </w:t>
      </w:r>
      <w:r w:rsidRPr="00E039B2">
        <w:rPr>
          <w:rFonts w:ascii="Arial" w:eastAsia="Times New Roman" w:hAnsi="Arial" w:cs="Arial"/>
          <w:highlight w:val="yellow"/>
        </w:rPr>
        <w:t>2020</w:t>
      </w:r>
      <w:proofErr w:type="gramEnd"/>
      <w:r w:rsidRPr="00E039B2">
        <w:rPr>
          <w:rFonts w:ascii="Arial" w:eastAsia="Times New Roman" w:hAnsi="Arial" w:cs="Arial"/>
          <w:highlight w:val="yellow"/>
        </w:rPr>
        <w:t xml:space="preserve"> </w:t>
      </w:r>
      <w:r w:rsidRPr="00E039B2">
        <w:rPr>
          <w:rFonts w:ascii="Arial" w:eastAsia="Times New Roman" w:hAnsi="Arial" w:cs="Arial"/>
        </w:rPr>
        <w:t xml:space="preserve">the Department is unable to estimate what liabilities may result from such audits. </w:t>
      </w:r>
      <w:r w:rsidRPr="00E039B2">
        <w:rPr>
          <w:rFonts w:ascii="Arial" w:eastAsia="Times New Roman" w:hAnsi="Arial" w:cs="Arial"/>
          <w:b/>
          <w:i/>
          <w:color w:val="0000FF"/>
        </w:rPr>
        <w:t>[Modify as considered necessary. Other purchases that are not significant to the financial statements may be omitted.]</w:t>
      </w:r>
    </w:p>
    <w:p w14:paraId="1ABABF1C" w14:textId="77777777" w:rsidR="00FE2C64" w:rsidRPr="00E039B2" w:rsidRDefault="00FE2C64" w:rsidP="00FE2C64">
      <w:pPr>
        <w:spacing w:before="240" w:after="240" w:line="240" w:lineRule="auto"/>
        <w:ind w:left="1915" w:hanging="475"/>
        <w:jc w:val="both"/>
        <w:rPr>
          <w:rFonts w:ascii="Arial" w:eastAsia="Times New Roman" w:hAnsi="Arial" w:cs="Arial"/>
          <w:b/>
          <w:bCs/>
          <w:i/>
          <w:iCs/>
          <w:smallCaps/>
          <w:color w:val="0000FF"/>
        </w:rPr>
      </w:pPr>
      <w:r w:rsidRPr="00E039B2">
        <w:rPr>
          <w:rFonts w:ascii="Arial" w:eastAsia="Times New Roman" w:hAnsi="Arial" w:cs="Arial"/>
          <w:b/>
        </w:rPr>
        <w:t>B.</w:t>
      </w:r>
      <w:r w:rsidRPr="00E039B2">
        <w:rPr>
          <w:rFonts w:ascii="Arial" w:eastAsia="Times New Roman" w:hAnsi="Arial" w:cs="Arial"/>
          <w:b/>
        </w:rPr>
        <w:tab/>
        <w:t xml:space="preserve">Pending Litigation and Claims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bCs/>
          <w:i/>
          <w:iCs/>
          <w:smallCaps/>
          <w:color w:val="0000FF"/>
        </w:rPr>
        <w:t>[</w:t>
      </w:r>
      <w:r w:rsidRPr="00E039B2">
        <w:rPr>
          <w:rFonts w:ascii="Arial" w:eastAsia="Times New Roman" w:hAnsi="Arial" w:cs="Arial"/>
          <w:b/>
          <w:bCs/>
          <w:i/>
          <w:iCs/>
          <w:color w:val="0000FF"/>
        </w:rPr>
        <w:t>Describe any pending litigation or claims that could have a material effect on the financial statements</w:t>
      </w:r>
      <w:r w:rsidRPr="00E039B2">
        <w:rPr>
          <w:rFonts w:ascii="Arial" w:eastAsia="Times New Roman" w:hAnsi="Arial" w:cs="Arial"/>
          <w:b/>
          <w:bCs/>
          <w:i/>
          <w:iCs/>
          <w:smallCaps/>
          <w:color w:val="0000FF"/>
        </w:rPr>
        <w:t xml:space="preserve">. </w:t>
      </w:r>
      <w:r w:rsidRPr="00E039B2">
        <w:rPr>
          <w:rFonts w:ascii="Arial" w:eastAsia="Times New Roman" w:hAnsi="Arial" w:cs="Arial"/>
          <w:b/>
          <w:bCs/>
          <w:i/>
          <w:iCs/>
          <w:color w:val="0000FF"/>
          <w:highlight w:val="yellow"/>
        </w:rPr>
        <w:t>See GASB 10 paragraph 27 and 58 for more details</w:t>
      </w:r>
      <w:r w:rsidRPr="00E039B2">
        <w:rPr>
          <w:rFonts w:ascii="Arial" w:eastAsia="Times New Roman" w:hAnsi="Arial" w:cs="Arial"/>
          <w:b/>
          <w:bCs/>
          <w:i/>
          <w:iCs/>
          <w:smallCaps/>
          <w:color w:val="0000FF"/>
        </w:rPr>
        <w:t>]</w:t>
      </w:r>
      <w:r w:rsidRPr="00E039B2">
        <w:rPr>
          <w:rFonts w:ascii="Arial" w:eastAsia="Times New Roman" w:hAnsi="Arial" w:cs="Arial"/>
        </w:rPr>
        <w:t xml:space="preserve"> The Department is a party to </w:t>
      </w:r>
      <w:r w:rsidRPr="00E039B2">
        <w:rPr>
          <w:rFonts w:ascii="Arial" w:eastAsia="Times New Roman" w:hAnsi="Arial" w:cs="Arial"/>
          <w:i/>
          <w:color w:val="0000FF"/>
        </w:rPr>
        <w:t>[other]</w:t>
      </w:r>
      <w:r w:rsidRPr="00E039B2">
        <w:rPr>
          <w:rFonts w:ascii="Arial" w:eastAsia="Times New Roman" w:hAnsi="Arial" w:cs="Arial"/>
          <w:color w:val="0000FF"/>
        </w:rPr>
        <w:t xml:space="preserve"> </w:t>
      </w:r>
      <w:r w:rsidRPr="00E039B2">
        <w:rPr>
          <w:rFonts w:ascii="Arial" w:eastAsia="Times New Roman" w:hAnsi="Arial" w:cs="Arial"/>
        </w:rPr>
        <w:t xml:space="preserve">litigation and claims in the ordinary course of its operations. Since it is not possible to predict the ultimate outcome of these matters, no provision for any liability has been made in the financial statements. Department management is of the opinion that the liability, if any, for any of these matters will not have a material adverse effect on the financial position of the Department. </w:t>
      </w:r>
      <w:r w:rsidRPr="00E039B2">
        <w:rPr>
          <w:rFonts w:ascii="Arial" w:eastAsia="Times New Roman" w:hAnsi="Arial" w:cs="Arial"/>
          <w:b/>
          <w:i/>
          <w:color w:val="0000FF"/>
        </w:rPr>
        <w:t>[Omit if not applicable.]</w:t>
      </w:r>
    </w:p>
    <w:p w14:paraId="09425DA2" w14:textId="77777777" w:rsidR="00FE2C64" w:rsidRPr="00E039B2" w:rsidRDefault="00FE2C64" w:rsidP="00FE2C64">
      <w:pPr>
        <w:tabs>
          <w:tab w:val="left" w:pos="1560"/>
        </w:tabs>
        <w:spacing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C.</w:t>
      </w:r>
      <w:r w:rsidRPr="00E039B2">
        <w:rPr>
          <w:rFonts w:ascii="Arial" w:eastAsia="Times New Roman" w:hAnsi="Arial" w:cs="Arial"/>
          <w:b/>
        </w:rPr>
        <w:tab/>
        <w:t>Material Violations of Finance</w:t>
      </w:r>
      <w:r w:rsidRPr="00E039B2">
        <w:rPr>
          <w:rFonts w:ascii="Arial" w:eastAsia="Times New Roman" w:hAnsi="Arial" w:cs="Arial"/>
        </w:rPr>
        <w:t>-</w:t>
      </w:r>
      <w:r w:rsidRPr="00E039B2">
        <w:rPr>
          <w:rFonts w:ascii="Arial" w:eastAsia="Times New Roman" w:hAnsi="Arial" w:cs="Arial"/>
          <w:b/>
        </w:rPr>
        <w:t xml:space="preserve">Related Legal or Contractual Provisions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 xml:space="preserve">[Explain any material noncompliance with finance related requirements including budgets, investments, debt, and bond compliance. Also, disclose actions that the Department has taken to address violations. </w:t>
      </w:r>
      <w:r w:rsidRPr="00E039B2">
        <w:rPr>
          <w:rFonts w:ascii="Arial" w:eastAsia="Times New Roman" w:hAnsi="Arial" w:cs="Arial"/>
          <w:b/>
          <w:i/>
          <w:color w:val="0000FF"/>
          <w:highlight w:val="yellow"/>
        </w:rPr>
        <w:t>See GASB 38 paragraph 9 and 45 for more details</w:t>
      </w:r>
      <w:r w:rsidRPr="00E039B2">
        <w:rPr>
          <w:rFonts w:ascii="Arial" w:eastAsia="Times New Roman" w:hAnsi="Arial" w:cs="Arial"/>
          <w:b/>
          <w:i/>
          <w:color w:val="0000FF"/>
        </w:rPr>
        <w:t>] [Omit if none exist.]</w:t>
      </w:r>
    </w:p>
    <w:p w14:paraId="520EB5C4" w14:textId="61F56C03" w:rsidR="00FE2C64" w:rsidRPr="00E039B2" w:rsidRDefault="00FE2C64" w:rsidP="00FE2C64">
      <w:pPr>
        <w:spacing w:before="240" w:after="240" w:line="240" w:lineRule="auto"/>
        <w:ind w:left="1915" w:hanging="475"/>
        <w:jc w:val="both"/>
        <w:rPr>
          <w:rFonts w:ascii="Arial" w:eastAsia="Times New Roman" w:hAnsi="Arial" w:cs="Arial"/>
        </w:rPr>
      </w:pPr>
      <w:r w:rsidRPr="00E039B2">
        <w:rPr>
          <w:rFonts w:ascii="Arial" w:eastAsia="Times New Roman" w:hAnsi="Arial" w:cs="Arial"/>
          <w:b/>
        </w:rPr>
        <w:lastRenderedPageBreak/>
        <w:t>D.</w:t>
      </w:r>
      <w:r w:rsidRPr="00E039B2">
        <w:rPr>
          <w:rFonts w:ascii="Arial" w:eastAsia="Times New Roman" w:hAnsi="Arial" w:cs="Arial"/>
          <w:b/>
        </w:rPr>
        <w:tab/>
        <w:t xml:space="preserve">Construction and Other Commitments </w:t>
      </w:r>
      <w:r w:rsidRPr="00E039B2">
        <w:rPr>
          <w:rFonts w:ascii="Arial" w:eastAsia="Times New Roman" w:hAnsi="Arial" w:cs="Arial"/>
        </w:rPr>
        <w:t>-</w:t>
      </w:r>
      <w:r w:rsidRPr="00E039B2">
        <w:rPr>
          <w:rFonts w:ascii="Arial" w:eastAsia="Times New Roman" w:hAnsi="Arial" w:cs="Arial"/>
          <w:bCs/>
          <w:iCs/>
          <w:smallCaps/>
          <w:color w:val="000000"/>
        </w:rPr>
        <w:t xml:space="preserve"> </w:t>
      </w:r>
      <w:r w:rsidRPr="00E039B2">
        <w:rPr>
          <w:rFonts w:ascii="Arial" w:eastAsia="Times New Roman" w:hAnsi="Arial" w:cs="Arial"/>
        </w:rPr>
        <w:t xml:space="preserve">The Department has established an encumbrance system to track its outstanding commitments on construction projects and other purchases. As of June 30, </w:t>
      </w:r>
      <w:r w:rsidRPr="00E039B2">
        <w:rPr>
          <w:rFonts w:ascii="Arial" w:eastAsia="Times New Roman" w:hAnsi="Arial" w:cs="Arial"/>
          <w:highlight w:val="yellow"/>
        </w:rPr>
        <w:t>2020</w:t>
      </w:r>
      <w:r w:rsidRPr="00E039B2">
        <w:rPr>
          <w:rFonts w:ascii="Arial" w:eastAsia="Times New Roman" w:hAnsi="Arial" w:cs="Arial"/>
        </w:rPr>
        <w:t xml:space="preserve">, the Department had commitments of $__________ related to construction and improvements of state government facilities, primarily </w:t>
      </w:r>
      <w:r w:rsidRPr="00E039B2">
        <w:rPr>
          <w:rFonts w:ascii="Arial" w:eastAsia="Times New Roman" w:hAnsi="Arial" w:cs="Arial"/>
          <w:highlight w:val="yellow"/>
        </w:rPr>
        <w:t>within</w:t>
      </w:r>
      <w:r w:rsidRPr="00E039B2">
        <w:rPr>
          <w:rFonts w:ascii="Arial" w:eastAsia="Times New Roman" w:hAnsi="Arial" w:cs="Arial"/>
        </w:rPr>
        <w:t xml:space="preserve"> the </w:t>
      </w:r>
      <w:r w:rsidRPr="00E039B2">
        <w:rPr>
          <w:rFonts w:ascii="Arial" w:eastAsia="Times New Roman" w:hAnsi="Arial" w:cs="Arial"/>
          <w:color w:val="0000FF"/>
        </w:rPr>
        <w:t>[Capital Projects]</w:t>
      </w:r>
      <w:r w:rsidRPr="00E039B2">
        <w:rPr>
          <w:rFonts w:ascii="Arial" w:eastAsia="Times New Roman" w:hAnsi="Arial" w:cs="Arial"/>
        </w:rPr>
        <w:t xml:space="preserve"> Fu</w:t>
      </w:r>
      <w:bookmarkStart w:id="105" w:name="_MON_1558506007"/>
      <w:bookmarkStart w:id="106" w:name="_MON_1558525786"/>
      <w:bookmarkStart w:id="107" w:name="_MON_1283837452"/>
      <w:bookmarkStart w:id="108" w:name="_MON_1220933434"/>
      <w:bookmarkStart w:id="109" w:name="_MON_1302419093"/>
      <w:bookmarkStart w:id="110" w:name="_MON_1345445298"/>
      <w:bookmarkStart w:id="111" w:name="_MON_1370677132"/>
      <w:bookmarkStart w:id="112" w:name="_MON_1402487291"/>
      <w:bookmarkStart w:id="113" w:name="_MON_1188215749"/>
      <w:bookmarkStart w:id="114" w:name="_MON_1558525908"/>
      <w:bookmarkStart w:id="115" w:name="_MON_1188282259"/>
      <w:bookmarkStart w:id="116" w:name="_MON_1305544950"/>
      <w:bookmarkStart w:id="117" w:name="_MON_1331375618"/>
      <w:bookmarkStart w:id="118" w:name="_MON_1331376376"/>
      <w:bookmarkStart w:id="119" w:name="_MON_1345445682"/>
      <w:bookmarkStart w:id="120" w:name="_MON_1368613412"/>
      <w:bookmarkStart w:id="121" w:name="_MON_1370677518"/>
      <w:bookmarkStart w:id="122" w:name="_MON_1401008999"/>
      <w:bookmarkStart w:id="123" w:name="_MON_1401010587"/>
      <w:bookmarkStart w:id="124" w:name="_MON_1558526499"/>
      <w:bookmarkStart w:id="125" w:name="_MON_1401010622"/>
      <w:bookmarkStart w:id="126" w:name="_MON_1401010632"/>
      <w:bookmarkStart w:id="127" w:name="_MON_1402487306"/>
      <w:bookmarkStart w:id="128" w:name="_MON_1300258794"/>
      <w:bookmarkStart w:id="129" w:name="_MON_1402749611"/>
      <w:bookmarkStart w:id="130" w:name="_MON_1405864051"/>
      <w:bookmarkStart w:id="131" w:name="_MON_1182596724"/>
      <w:bookmarkStart w:id="132" w:name="_MON_1182596790"/>
      <w:bookmarkStart w:id="133" w:name="_MON_1182596948"/>
      <w:bookmarkStart w:id="134" w:name="_MON_1182597003"/>
      <w:bookmarkStart w:id="135" w:name="_MON_1188032500"/>
      <w:bookmarkStart w:id="136" w:name="_MON_1188216149"/>
      <w:bookmarkStart w:id="137" w:name="_MON_1188216416"/>
      <w:bookmarkStart w:id="138" w:name="_MON_1188216479"/>
      <w:bookmarkStart w:id="139" w:name="_MON_1188216489"/>
      <w:bookmarkStart w:id="140" w:name="_MON_1188216851"/>
      <w:bookmarkStart w:id="141" w:name="_MON_1188282357"/>
      <w:bookmarkStart w:id="142" w:name="_MON_1190802539"/>
      <w:bookmarkStart w:id="143" w:name="_MON_1191151907"/>
      <w:bookmarkStart w:id="144" w:name="_MON_1191406165"/>
      <w:bookmarkStart w:id="145" w:name="_MON_1192355094"/>
      <w:bookmarkStart w:id="146" w:name="_MON_1211798705"/>
      <w:bookmarkStart w:id="147" w:name="_MON_1211799442"/>
      <w:bookmarkStart w:id="148" w:name="_MON_1212233181"/>
      <w:bookmarkStart w:id="149" w:name="_MON_1220934013"/>
      <w:bookmarkStart w:id="150" w:name="_MON_1220934177"/>
      <w:bookmarkStart w:id="151" w:name="_MON_1220934261"/>
      <w:bookmarkStart w:id="152" w:name="_MON_1220934301"/>
      <w:bookmarkStart w:id="153" w:name="_MON_1224322912"/>
      <w:bookmarkStart w:id="154" w:name="_MON_1246452119"/>
      <w:bookmarkStart w:id="155" w:name="_MON_1277207995"/>
      <w:bookmarkStart w:id="156" w:name="_MON_1277208154"/>
      <w:bookmarkStart w:id="157" w:name="_MON_1277208162"/>
      <w:bookmarkStart w:id="158" w:name="_MON_1283837597"/>
      <w:bookmarkStart w:id="159" w:name="_MON_1182598106"/>
      <w:bookmarkStart w:id="160" w:name="_MON_1188216899"/>
      <w:bookmarkStart w:id="161" w:name="_MON_1188216919"/>
      <w:bookmarkStart w:id="162" w:name="_MON_1188216933"/>
      <w:bookmarkStart w:id="163" w:name="_MON_1188282438"/>
      <w:bookmarkStart w:id="164" w:name="_MON_1190802650"/>
      <w:bookmarkStart w:id="165" w:name="_MON_1191151726"/>
      <w:bookmarkStart w:id="166" w:name="_MON_1191406252"/>
      <w:bookmarkStart w:id="167" w:name="_MON_1192360998"/>
      <w:bookmarkStart w:id="168" w:name="_MON_1192361009"/>
      <w:bookmarkStart w:id="169" w:name="_MON_1220934515"/>
      <w:bookmarkStart w:id="170" w:name="_MON_1220935100"/>
      <w:bookmarkStart w:id="171" w:name="_MON_1224322966"/>
      <w:bookmarkStart w:id="172" w:name="_MON_1246686743"/>
      <w:bookmarkStart w:id="173" w:name="_MON_1246776642"/>
      <w:bookmarkStart w:id="174" w:name="_MON_1558526804"/>
      <w:bookmarkStart w:id="175" w:name="_MON_1283837721"/>
      <w:bookmarkStart w:id="176" w:name="_MON_1283837769"/>
      <w:bookmarkStart w:id="177" w:name="_MON_1283837808"/>
      <w:bookmarkStart w:id="178" w:name="_MON_1283837887"/>
      <w:bookmarkStart w:id="179" w:name="_MON_1283838231"/>
      <w:bookmarkStart w:id="180" w:name="_MON_1331375686"/>
      <w:bookmarkStart w:id="181" w:name="_MON_1345445861"/>
      <w:bookmarkStart w:id="182" w:name="_MON_1365228751"/>
      <w:bookmarkStart w:id="183" w:name="_MON_1370677637"/>
      <w:bookmarkStart w:id="184" w:name="_MON_1370677666"/>
      <w:bookmarkStart w:id="185" w:name="_MON_1370677775"/>
      <w:bookmarkStart w:id="186" w:name="_MON_1370677827"/>
      <w:bookmarkStart w:id="187" w:name="_MON_1401009009"/>
      <w:bookmarkStart w:id="188" w:name="_MON_1177222996"/>
      <w:bookmarkStart w:id="189" w:name="_MON_1179385150"/>
      <w:bookmarkStart w:id="190" w:name="_MON_1192362214"/>
      <w:bookmarkStart w:id="191" w:name="_MON_1220935269"/>
      <w:bookmarkStart w:id="192" w:name="_MON_1283837801"/>
      <w:bookmarkStart w:id="193" w:name="_MON_1402749769"/>
      <w:bookmarkStart w:id="194" w:name="_MON_1283837901"/>
      <w:bookmarkStart w:id="195" w:name="_MON_1283837991"/>
      <w:bookmarkStart w:id="196" w:name="_MON_1302419048"/>
      <w:bookmarkStart w:id="197" w:name="_MON_1345446044"/>
      <w:bookmarkStart w:id="198" w:name="_MON_1370677820"/>
      <w:bookmarkStart w:id="199" w:name="_MON_1177224611"/>
      <w:bookmarkStart w:id="200" w:name="_MON_1177225001"/>
      <w:bookmarkStart w:id="201" w:name="_MON_1188217248"/>
      <w:bookmarkStart w:id="202" w:name="_MON_1188282489"/>
      <w:bookmarkStart w:id="203" w:name="_MON_1370677869"/>
      <w:bookmarkStart w:id="204" w:name="_MON_1402487617"/>
      <w:bookmarkStart w:id="205" w:name="_MON_1177327245"/>
      <w:bookmarkStart w:id="206" w:name="_MON_1188217369"/>
      <w:bookmarkStart w:id="207" w:name="_MON_1188217454"/>
      <w:bookmarkStart w:id="208" w:name="_MON_1188282524"/>
      <w:bookmarkStart w:id="209" w:name="_MON_1192362297"/>
      <w:bookmarkStart w:id="210" w:name="_MON_1402749851"/>
      <w:bookmarkStart w:id="211" w:name="_MON_1220935475"/>
      <w:bookmarkStart w:id="212" w:name="_MON_1283837938"/>
      <w:bookmarkStart w:id="213" w:name="_MON_1283837964"/>
      <w:bookmarkStart w:id="214" w:name="_MON_1191152003"/>
      <w:bookmarkStart w:id="215" w:name="_MON_1191406287"/>
      <w:bookmarkStart w:id="216" w:name="_MON_1192362686"/>
      <w:bookmarkStart w:id="217" w:name="_MON_1211798772"/>
      <w:bookmarkStart w:id="218" w:name="_MON_1220935586"/>
      <w:bookmarkStart w:id="219" w:name="_MON_1220935621"/>
      <w:bookmarkStart w:id="220" w:name="_MON_1224323007"/>
      <w:bookmarkStart w:id="221" w:name="_MON_1246686809"/>
      <w:bookmarkStart w:id="222" w:name="_MON_1276946664"/>
      <w:bookmarkStart w:id="223" w:name="_MON_1283838086"/>
      <w:bookmarkStart w:id="224" w:name="_MON_1283838132"/>
      <w:bookmarkStart w:id="225" w:name="_MON_1283838164"/>
      <w:bookmarkStart w:id="226" w:name="_MON_1300258770"/>
      <w:bookmarkStart w:id="227" w:name="_MON_1302419026"/>
      <w:bookmarkStart w:id="228" w:name="_MON_1365229114"/>
      <w:bookmarkStart w:id="229" w:name="_MON_1368613392"/>
      <w:bookmarkStart w:id="230" w:name="_MON_1370677969"/>
      <w:bookmarkStart w:id="231" w:name="_MON_1401009020"/>
      <w:bookmarkStart w:id="232" w:name="_MON_1401010998"/>
      <w:bookmarkStart w:id="233" w:name="_MON_1402487761"/>
      <w:bookmarkStart w:id="234" w:name="_MON_1402487783"/>
      <w:bookmarkStart w:id="235" w:name="_MON_1119088862"/>
      <w:bookmarkStart w:id="236" w:name="_MON_1119165060"/>
      <w:bookmarkStart w:id="237" w:name="_MON_1148788720"/>
      <w:bookmarkStart w:id="238" w:name="_MON_1188217517"/>
      <w:bookmarkStart w:id="239" w:name="_MON_1188217688"/>
      <w:bookmarkStart w:id="240" w:name="_MON_1188217716"/>
      <w:bookmarkStart w:id="241" w:name="_MON_1119092215"/>
      <w:bookmarkStart w:id="242" w:name="_MON_1188217799"/>
      <w:bookmarkStart w:id="243" w:name="_MON_1188218322"/>
      <w:bookmarkStart w:id="244" w:name="_MON_1188282620"/>
      <w:bookmarkStart w:id="245" w:name="_MON_1191151670"/>
      <w:bookmarkStart w:id="246" w:name="_MON_1191151690"/>
      <w:bookmarkStart w:id="247" w:name="_MON_1365229445"/>
      <w:bookmarkStart w:id="248" w:name="_MON_1370678048"/>
      <w:bookmarkStart w:id="249" w:name="_MON_1370678133"/>
      <w:bookmarkStart w:id="250" w:name="_MON_1401009030"/>
      <w:bookmarkStart w:id="251" w:name="_MON_1188217882"/>
      <w:bookmarkStart w:id="252" w:name="_MON_1188217917"/>
      <w:bookmarkStart w:id="253" w:name="_MON_1188283589"/>
      <w:bookmarkStart w:id="254" w:name="_MON_1191151744"/>
      <w:bookmarkStart w:id="255" w:name="_MON_1191406328"/>
      <w:bookmarkStart w:id="256" w:name="_MON_1192362777"/>
      <w:bookmarkStart w:id="257" w:name="_MON_1220936380"/>
      <w:bookmarkStart w:id="258" w:name="_MON_1220936397"/>
      <w:bookmarkStart w:id="259" w:name="_MON_1220936430"/>
      <w:bookmarkStart w:id="260" w:name="_MON_1191152061"/>
      <w:bookmarkStart w:id="261" w:name="_MON_1220936760"/>
      <w:bookmarkStart w:id="262" w:name="_MON_1220936819"/>
      <w:bookmarkStart w:id="263" w:name="_MON_1220936831"/>
      <w:bookmarkStart w:id="264" w:name="_MON_1224323038"/>
      <w:bookmarkStart w:id="265" w:name="_MON_1246686992"/>
      <w:bookmarkStart w:id="266" w:name="_MON_1246776796"/>
      <w:bookmarkStart w:id="267" w:name="_MON_1246776913"/>
      <w:bookmarkStart w:id="268" w:name="_MON_1246777037"/>
      <w:bookmarkStart w:id="269" w:name="_MON_1188283693"/>
      <w:bookmarkStart w:id="270" w:name="_MON_1192362860"/>
      <w:bookmarkStart w:id="271" w:name="_MON_1302418991"/>
      <w:bookmarkStart w:id="272" w:name="_MON_1402487821"/>
      <w:bookmarkStart w:id="273" w:name="_MON_1302418982"/>
      <w:bookmarkStart w:id="274" w:name="_MON_1220937219"/>
      <w:bookmarkStart w:id="275" w:name="_MON_1402487832"/>
      <w:bookmarkStart w:id="276" w:name="_MON_1402750801"/>
      <w:bookmarkStart w:id="277" w:name="_MON_1188218086"/>
      <w:bookmarkStart w:id="278" w:name="_MON_1188218121"/>
      <w:bookmarkStart w:id="279" w:name="_MON_1188283756"/>
      <w:bookmarkStart w:id="280" w:name="_MON_1192362920"/>
      <w:bookmarkStart w:id="281" w:name="_MON_1192362944"/>
      <w:bookmarkStart w:id="282" w:name="_MON_1220937089"/>
      <w:bookmarkStart w:id="283" w:name="_MON_1220937165"/>
      <w:bookmarkStart w:id="284" w:name="_MON_1220937185"/>
      <w:bookmarkStart w:id="285" w:name="_MON_1220937241"/>
      <w:bookmarkStart w:id="286" w:name="_MON_1220937248"/>
      <w:bookmarkStart w:id="287" w:name="_MON_1220937273"/>
      <w:bookmarkStart w:id="288" w:name="_MON_1220937382"/>
      <w:bookmarkStart w:id="289" w:name="_MON_1220937502"/>
      <w:bookmarkStart w:id="290" w:name="_MON_1220937690"/>
      <w:bookmarkStart w:id="291" w:name="_MON_1220937963"/>
      <w:bookmarkStart w:id="292" w:name="_MON_1243143636"/>
      <w:bookmarkStart w:id="293" w:name="_MON_1401009053"/>
      <w:bookmarkStart w:id="294" w:name="_MON_1264248372"/>
      <w:bookmarkStart w:id="295" w:name="_MON_1283838376"/>
      <w:bookmarkStart w:id="296" w:name="_MON_1302418960"/>
      <w:bookmarkStart w:id="297" w:name="_MON_1370678661"/>
      <w:bookmarkStart w:id="298" w:name="_MON_1375272344"/>
      <w:bookmarkStart w:id="299" w:name="_MON_1243143651"/>
      <w:bookmarkStart w:id="300" w:name="_MON_1264248383"/>
      <w:bookmarkStart w:id="301" w:name="_MON_1283838465"/>
      <w:bookmarkStart w:id="302" w:name="_MON_1300258669"/>
      <w:bookmarkStart w:id="303" w:name="_MON_1302418940"/>
      <w:bookmarkStart w:id="304" w:name="_MON_1220937973"/>
      <w:bookmarkStart w:id="305" w:name="_MON_1330162079"/>
      <w:bookmarkStart w:id="306" w:name="_MON_1359272951"/>
      <w:bookmarkStart w:id="307" w:name="_MON_1370678707"/>
      <w:bookmarkStart w:id="308" w:name="_MON_1401009066"/>
      <w:bookmarkStart w:id="309" w:name="_MON_1401711122"/>
      <w:bookmarkStart w:id="310" w:name="_MON_1402752833"/>
      <w:bookmarkStart w:id="311" w:name="_MON_1220937800"/>
      <w:bookmarkStart w:id="312" w:name="_MON_1401009088"/>
      <w:bookmarkStart w:id="313" w:name="_MON_1401710796"/>
      <w:bookmarkStart w:id="314" w:name="_MON_1401710857"/>
      <w:bookmarkStart w:id="315" w:name="_MON_1401710866"/>
      <w:bookmarkStart w:id="316" w:name="_MON_1402491778"/>
      <w:bookmarkStart w:id="317" w:name="_MON_1402491813"/>
      <w:bookmarkStart w:id="318" w:name="_MON_1402752938"/>
      <w:bookmarkStart w:id="319" w:name="_MON_1182596845"/>
      <w:bookmarkStart w:id="320" w:name="_MON_1188218166"/>
      <w:bookmarkStart w:id="321" w:name="_MON_1188218340"/>
      <w:bookmarkStart w:id="322" w:name="_MON_1191151841"/>
      <w:bookmarkStart w:id="323" w:name="_MON_1191152031"/>
      <w:bookmarkStart w:id="324" w:name="_MON_1192362985"/>
      <w:bookmarkStart w:id="325" w:name="_MON_1211798831"/>
      <w:bookmarkStart w:id="326" w:name="_MON_1220938256"/>
      <w:bookmarkStart w:id="327" w:name="_MON_1220938572"/>
      <w:bookmarkStart w:id="328" w:name="_MON_1220938818"/>
      <w:bookmarkStart w:id="329" w:name="_MON_1224323066"/>
      <w:bookmarkStart w:id="330" w:name="_MON_1224323079"/>
      <w:bookmarkStart w:id="331" w:name="_MON_1246688084"/>
      <w:bookmarkStart w:id="332" w:name="_MON_1220938279"/>
      <w:bookmarkStart w:id="333" w:name="_MON_1276946741"/>
      <w:bookmarkStart w:id="334" w:name="_MON_1283838520"/>
      <w:bookmarkStart w:id="335" w:name="_MON_1300258686"/>
      <w:bookmarkStart w:id="336" w:name="_MON_1302418926"/>
      <w:bookmarkStart w:id="337" w:name="_MON_1331376443"/>
      <w:bookmarkStart w:id="338" w:name="_MON_1331445936"/>
      <w:bookmarkStart w:id="339" w:name="_MON_1365229577"/>
      <w:bookmarkStart w:id="340" w:name="_MON_1365313834"/>
      <w:bookmarkStart w:id="341" w:name="_MON_1368613448"/>
      <w:bookmarkStart w:id="342" w:name="_MON_1370678775"/>
      <w:bookmarkStart w:id="343" w:name="_MON_1370678823"/>
      <w:bookmarkStart w:id="344" w:name="_MON_1224323098"/>
      <w:bookmarkStart w:id="345" w:name="_MON_1246688244"/>
      <w:bookmarkStart w:id="346" w:name="_MON_1246777117"/>
      <w:bookmarkStart w:id="347" w:name="_MON_1246777204"/>
      <w:bookmarkStart w:id="348" w:name="_MON_1283838565"/>
      <w:bookmarkStart w:id="349" w:name="_MON_1302418915"/>
      <w:bookmarkStart w:id="350" w:name="_MON_1365313857"/>
      <w:bookmarkStart w:id="351" w:name="_MON_1370678944"/>
      <w:bookmarkStart w:id="352" w:name="_MON_1370679012"/>
      <w:bookmarkStart w:id="353" w:name="_MON_1401009096"/>
      <w:bookmarkStart w:id="354" w:name="_MON_1188218407"/>
      <w:bookmarkStart w:id="355" w:name="_MON_1188283824"/>
      <w:bookmarkStart w:id="356" w:name="_MON_1191406428"/>
      <w:bookmarkStart w:id="357" w:name="_MON_1192363133"/>
      <w:bookmarkStart w:id="358" w:name="_MON_1220939012"/>
      <w:bookmarkStart w:id="359" w:name="_MON_1220939258"/>
      <w:bookmarkStart w:id="360" w:name="_MON_1220939393"/>
      <w:bookmarkStart w:id="361" w:name="_MON_1191152086"/>
      <w:bookmarkStart w:id="362" w:name="_MON_1220939541"/>
      <w:bookmarkStart w:id="363" w:name="_MON_1220939564"/>
      <w:bookmarkStart w:id="364" w:name="_MON_1220939575"/>
      <w:bookmarkStart w:id="365" w:name="_MON_1220939655"/>
      <w:bookmarkStart w:id="366" w:name="_MON_1220939688"/>
      <w:bookmarkStart w:id="367" w:name="_MON_1188218645"/>
      <w:bookmarkStart w:id="368" w:name="_MON_1188283892"/>
      <w:bookmarkStart w:id="369" w:name="_MON_1375272486"/>
      <w:bookmarkStart w:id="370" w:name="_MON_1220939732"/>
      <w:bookmarkStart w:id="371" w:name="_MON_1283838671"/>
      <w:bookmarkStart w:id="372" w:name="_MON_1302418900"/>
      <w:bookmarkStart w:id="373" w:name="_MON_1402491826"/>
      <w:bookmarkStart w:id="374" w:name="_MON_1402753040"/>
      <w:bookmarkStart w:id="375" w:name="_MON_1188218694"/>
      <w:bookmarkStart w:id="376" w:name="_MON_1188283953"/>
      <w:bookmarkStart w:id="377" w:name="_MON_1192363326"/>
      <w:bookmarkStart w:id="378" w:name="_MON_1220940009"/>
      <w:bookmarkStart w:id="379" w:name="_MON_1283838632"/>
      <w:bookmarkStart w:id="380" w:name="_MON_1283838684"/>
      <w:bookmarkStart w:id="381" w:name="_MON_1302418893"/>
      <w:bookmarkStart w:id="382" w:name="_MON_1370679098"/>
      <w:bookmarkStart w:id="383" w:name="_MON_1402491835"/>
      <w:bookmarkStart w:id="384" w:name="_MON_1220940041"/>
      <w:bookmarkStart w:id="385" w:name="_MON_1212228454"/>
      <w:bookmarkStart w:id="386" w:name="_MON_1220940133"/>
      <w:bookmarkStart w:id="387" w:name="_MON_1220940228"/>
      <w:bookmarkStart w:id="388" w:name="_MON_1220940264"/>
      <w:bookmarkStart w:id="389" w:name="_MON_1220940314"/>
      <w:bookmarkStart w:id="390" w:name="_MON_1220940324"/>
      <w:bookmarkStart w:id="391" w:name="_MON_1220940500"/>
      <w:bookmarkStart w:id="392" w:name="_MON_1220940556"/>
      <w:bookmarkStart w:id="393" w:name="_MON_1224323123"/>
      <w:bookmarkStart w:id="394" w:name="_MON_1276946767"/>
      <w:bookmarkStart w:id="395" w:name="_MON_1283838716"/>
      <w:bookmarkStart w:id="396" w:name="_MON_1300258724"/>
      <w:bookmarkStart w:id="397" w:name="_MON_1302418876"/>
      <w:bookmarkStart w:id="398" w:name="_MON_1305544971"/>
      <w:bookmarkStart w:id="399" w:name="_MON_1305545000"/>
      <w:bookmarkStart w:id="400" w:name="_MON_1305545152"/>
      <w:bookmarkStart w:id="401" w:name="_MON_1345447283"/>
      <w:bookmarkStart w:id="402" w:name="_MON_1365314006"/>
      <w:bookmarkStart w:id="403" w:name="_MON_1365314435"/>
      <w:bookmarkStart w:id="404" w:name="_MON_1368599444"/>
      <w:bookmarkStart w:id="405" w:name="_MON_1368613470"/>
      <w:bookmarkStart w:id="406" w:name="_MON_1370679136"/>
      <w:bookmarkStart w:id="407" w:name="_MON_1370679141"/>
      <w:bookmarkStart w:id="408" w:name="_MON_1370679158"/>
      <w:bookmarkStart w:id="409" w:name="_MON_1375272528"/>
      <w:bookmarkStart w:id="410" w:name="_MON_1401009110"/>
      <w:bookmarkStart w:id="411" w:name="_MON_1401711293"/>
      <w:bookmarkStart w:id="412" w:name="_MON_1402491850"/>
      <w:bookmarkStart w:id="413" w:name="_MON_1402753155"/>
      <w:bookmarkStart w:id="414" w:name="_MON_1211799689"/>
      <w:bookmarkStart w:id="415" w:name="_MON_1211799718"/>
      <w:bookmarkStart w:id="416" w:name="_MON_1401009125"/>
      <w:bookmarkStart w:id="417" w:name="_MON_1401711411"/>
      <w:bookmarkStart w:id="418" w:name="_MON_1552824581"/>
      <w:bookmarkStart w:id="419" w:name="_MON_1402491867"/>
      <w:bookmarkStart w:id="420" w:name="_MON_1119080043"/>
      <w:bookmarkStart w:id="421" w:name="_MON_1119088982"/>
      <w:bookmarkStart w:id="422" w:name="_MON_1121250839"/>
      <w:bookmarkStart w:id="423" w:name="_MON_1121251169"/>
      <w:bookmarkStart w:id="424" w:name="_MON_1148646662"/>
      <w:bookmarkStart w:id="425" w:name="_MON_1188219083"/>
      <w:bookmarkStart w:id="426" w:name="_MON_1188219111"/>
      <w:bookmarkStart w:id="427" w:name="_MON_1188219173"/>
      <w:bookmarkStart w:id="428" w:name="_MON_1188219268"/>
      <w:bookmarkStart w:id="429" w:name="_MON_1188284473"/>
      <w:bookmarkStart w:id="430" w:name="_MON_1192364260"/>
      <w:bookmarkStart w:id="431" w:name="_MON_1220940844"/>
      <w:bookmarkStart w:id="432" w:name="_MON_1220940858"/>
      <w:bookmarkStart w:id="433" w:name="_MON_1220940937"/>
      <w:bookmarkStart w:id="434" w:name="_MON_1220940987"/>
      <w:bookmarkStart w:id="435" w:name="_MON_1302418796"/>
      <w:bookmarkStart w:id="436" w:name="_MON_1336387948"/>
      <w:bookmarkStart w:id="437" w:name="_MON_1336388106"/>
      <w:bookmarkStart w:id="438" w:name="_MON_1359285710"/>
      <w:bookmarkStart w:id="439" w:name="_MON_1370679560"/>
      <w:bookmarkStart w:id="440" w:name="_MON_1375273430"/>
      <w:bookmarkStart w:id="441" w:name="_MON_1399444080"/>
      <w:bookmarkStart w:id="442" w:name="_MON_1400912813"/>
      <w:bookmarkStart w:id="443" w:name="_MON_1400912833"/>
      <w:bookmarkStart w:id="444" w:name="_MON_1345448657"/>
      <w:bookmarkStart w:id="445" w:name="_MON_1370680752"/>
      <w:bookmarkStart w:id="446" w:name="_MON_1330162172"/>
      <w:bookmarkStart w:id="447" w:name="_MON_1359286776"/>
      <w:bookmarkStart w:id="448" w:name="_MON_1401711825"/>
      <w:bookmarkStart w:id="449" w:name="_MON_1220941751"/>
      <w:bookmarkStart w:id="450" w:name="_MON_1220942106"/>
      <w:bookmarkStart w:id="451" w:name="_MON_1220942193"/>
      <w:bookmarkStart w:id="452" w:name="_MON_1264506653"/>
      <w:bookmarkStart w:id="453" w:name="_MON_1283839073"/>
      <w:bookmarkStart w:id="454" w:name="_MON_1300514102"/>
      <w:bookmarkStart w:id="455" w:name="_MON_1302418654"/>
      <w:bookmarkStart w:id="456" w:name="_MON_1246862036"/>
      <w:bookmarkStart w:id="457" w:name="_MON_1264248523"/>
      <w:bookmarkStart w:id="458" w:name="_MON_1283839628"/>
      <w:bookmarkStart w:id="459" w:name="_MON_1300515301"/>
      <w:bookmarkStart w:id="460" w:name="_MON_1302418223"/>
      <w:bookmarkStart w:id="461" w:name="_MON_1302418449"/>
      <w:bookmarkStart w:id="462" w:name="_MON_1302418459"/>
      <w:bookmarkStart w:id="463" w:name="_MON_1305023603"/>
      <w:bookmarkStart w:id="464" w:name="_MON_1305544111"/>
      <w:bookmarkStart w:id="465" w:name="_MON_1330162201"/>
      <w:bookmarkStart w:id="466" w:name="_MON_1338875572"/>
      <w:bookmarkStart w:id="467" w:name="_MON_1338875597"/>
      <w:bookmarkStart w:id="468" w:name="_MON_1338875628"/>
      <w:bookmarkStart w:id="469" w:name="_MON_1338875639"/>
      <w:bookmarkStart w:id="470" w:name="_MON_1340007955"/>
      <w:bookmarkStart w:id="471" w:name="_MON_1340007928"/>
      <w:bookmarkStart w:id="472" w:name="_MON_1340008092"/>
      <w:bookmarkStart w:id="473" w:name="_MON_1345448902"/>
      <w:bookmarkStart w:id="474" w:name="_MON_1359275801"/>
      <w:bookmarkStart w:id="475" w:name="_MON_1370680919"/>
      <w:bookmarkStart w:id="476" w:name="_MON_1375273621"/>
      <w:bookmarkStart w:id="477" w:name="_MON_1401711876"/>
      <w:bookmarkStart w:id="478" w:name="_MON_1121238495"/>
      <w:bookmarkStart w:id="479" w:name="_MON_1145687960"/>
      <w:bookmarkStart w:id="480" w:name="_MON_1558515375"/>
      <w:bookmarkStart w:id="481" w:name="_MON_1119089037"/>
      <w:bookmarkStart w:id="482" w:name="_MON_1145688087"/>
      <w:bookmarkStart w:id="483" w:name="_MON_1145688213"/>
      <w:bookmarkStart w:id="484" w:name="_MON_1148645930"/>
      <w:bookmarkStart w:id="485" w:name="_MON_1148646616"/>
      <w:bookmarkStart w:id="486" w:name="_MON_1159610699"/>
      <w:bookmarkStart w:id="487" w:name="_MON_1188220119"/>
      <w:bookmarkStart w:id="488" w:name="_MON_1188220172"/>
      <w:bookmarkStart w:id="489" w:name="_MON_1188274003"/>
      <w:bookmarkStart w:id="490" w:name="_MON_1188285392"/>
      <w:bookmarkStart w:id="491" w:name="_MON_1192364542"/>
      <w:bookmarkStart w:id="492" w:name="_MON_1208244985"/>
      <w:bookmarkStart w:id="493" w:name="_MON_1212828092"/>
      <w:bookmarkStart w:id="494" w:name="_MON_1220861329"/>
      <w:bookmarkStart w:id="495" w:name="_MON_1220942285"/>
      <w:bookmarkStart w:id="496" w:name="_MON_1220942350"/>
      <w:bookmarkStart w:id="497" w:name="_MON_1220942419"/>
      <w:bookmarkStart w:id="498" w:name="_MON_1220942459"/>
      <w:bookmarkStart w:id="499" w:name="_MON_1220942470"/>
      <w:bookmarkStart w:id="500" w:name="_MON_1220942542"/>
      <w:bookmarkStart w:id="501" w:name="_MON_1222083322"/>
      <w:bookmarkStart w:id="502" w:name="_MON_1222083410"/>
      <w:bookmarkStart w:id="503" w:name="_MON_1222083617"/>
      <w:bookmarkStart w:id="504" w:name="_MON_1243143856"/>
      <w:bookmarkStart w:id="505" w:name="_MON_1305543874"/>
      <w:bookmarkStart w:id="506" w:name="_MON_1305543890"/>
      <w:bookmarkStart w:id="507" w:name="_MON_1305545722"/>
      <w:bookmarkStart w:id="508" w:name="_MON_1305546754"/>
      <w:bookmarkStart w:id="509" w:name="_MON_1330162224"/>
      <w:bookmarkStart w:id="510" w:name="_MON_1336372486"/>
      <w:bookmarkStart w:id="511" w:name="_MON_1338712938"/>
      <w:bookmarkStart w:id="512" w:name="_MON_1338713648"/>
      <w:bookmarkStart w:id="513" w:name="_MON_1340007762"/>
      <w:bookmarkStart w:id="514" w:name="_MON_1340007827"/>
      <w:bookmarkStart w:id="515" w:name="_MON_1340007905"/>
      <w:bookmarkStart w:id="516" w:name="_MON_1340008010"/>
      <w:bookmarkStart w:id="517" w:name="_MON_1340085349"/>
      <w:bookmarkStart w:id="518" w:name="_MON_1340085421"/>
      <w:bookmarkStart w:id="519" w:name="_MON_1340085426"/>
      <w:bookmarkStart w:id="520" w:name="_MON_1340100091"/>
      <w:bookmarkStart w:id="521" w:name="_MON_1340100332"/>
      <w:bookmarkStart w:id="522" w:name="_MON_1359275836"/>
      <w:bookmarkStart w:id="523" w:name="_MON_1370680984"/>
      <w:bookmarkStart w:id="524" w:name="_MON_1375273656"/>
      <w:bookmarkStart w:id="525" w:name="_MON_1401711914"/>
      <w:bookmarkStart w:id="526" w:name="_MON_1405920805"/>
      <w:bookmarkStart w:id="527" w:name="_MON_1405920847"/>
      <w:bookmarkStart w:id="528" w:name="_MON_1405920872"/>
      <w:bookmarkStart w:id="529" w:name="_MON_1148646191"/>
      <w:bookmarkStart w:id="530" w:name="_MON_1188274056"/>
      <w:bookmarkStart w:id="531" w:name="_MON_1188285447"/>
      <w:bookmarkStart w:id="532" w:name="_MON_1192364640"/>
      <w:bookmarkStart w:id="533" w:name="_MON_1192432670"/>
      <w:bookmarkStart w:id="534" w:name="_MON_1208245006"/>
      <w:bookmarkStart w:id="535" w:name="_MON_1211801314"/>
      <w:bookmarkStart w:id="536" w:name="_MON_1213016190"/>
      <w:bookmarkStart w:id="537" w:name="_MON_1220942582"/>
      <w:bookmarkStart w:id="538" w:name="_MON_1220942606"/>
      <w:bookmarkStart w:id="539" w:name="_MON_1220942620"/>
      <w:bookmarkStart w:id="540" w:name="_MON_1220942911"/>
      <w:bookmarkStart w:id="541" w:name="_MON_1220943283"/>
      <w:bookmarkStart w:id="542" w:name="_MON_1220943355"/>
      <w:bookmarkStart w:id="543" w:name="_MON_1243143873"/>
      <w:bookmarkStart w:id="544" w:name="_MON_1246780838"/>
      <w:bookmarkStart w:id="545" w:name="_MON_1264248543"/>
      <w:bookmarkStart w:id="546" w:name="_MON_1276942166"/>
      <w:bookmarkStart w:id="547" w:name="_MON_1276942198"/>
      <w:bookmarkStart w:id="548" w:name="_MON_1276947800"/>
      <w:bookmarkStart w:id="549" w:name="_MON_1276947896"/>
      <w:bookmarkStart w:id="550" w:name="_MON_1283839719"/>
      <w:bookmarkStart w:id="551" w:name="_MON_1283839847"/>
      <w:bookmarkStart w:id="552" w:name="_MON_1283839938"/>
      <w:bookmarkStart w:id="553" w:name="_MON_1300515325"/>
      <w:bookmarkStart w:id="554" w:name="_MON_1401864592"/>
      <w:bookmarkStart w:id="555" w:name="_MON_1276426932"/>
      <w:bookmarkStart w:id="556" w:name="_MON_1276427182"/>
      <w:bookmarkStart w:id="557" w:name="_MON_1276427802"/>
      <w:bookmarkStart w:id="558" w:name="_MON_1276430350"/>
      <w:bookmarkStart w:id="559" w:name="_MON_1276431474"/>
      <w:bookmarkStart w:id="560" w:name="_MON_1276431966"/>
      <w:bookmarkStart w:id="561" w:name="_MON_1276431990"/>
      <w:bookmarkStart w:id="562" w:name="_MON_1276940651"/>
      <w:bookmarkStart w:id="563" w:name="_MON_1283839769"/>
      <w:bookmarkStart w:id="564" w:name="_MON_1283840131"/>
      <w:bookmarkStart w:id="565" w:name="_MON_1283840182"/>
      <w:bookmarkStart w:id="566" w:name="_MON_1301920521"/>
      <w:bookmarkStart w:id="567" w:name="_MON_1301920615"/>
      <w:bookmarkStart w:id="568" w:name="_MON_1301920629"/>
      <w:bookmarkStart w:id="569" w:name="_MON_1305543954"/>
      <w:bookmarkStart w:id="570" w:name="_MON_1305547079"/>
      <w:bookmarkStart w:id="571" w:name="_MON_1336373290"/>
      <w:bookmarkStart w:id="572" w:name="_MON_1336374379"/>
      <w:bookmarkStart w:id="573" w:name="_MON_1336374440"/>
      <w:bookmarkStart w:id="574" w:name="_MON_1336374991"/>
      <w:bookmarkStart w:id="575" w:name="_MON_1337062569"/>
      <w:bookmarkStart w:id="576" w:name="_MON_1338703695"/>
      <w:bookmarkStart w:id="577" w:name="_MON_1338703985"/>
      <w:bookmarkStart w:id="578" w:name="_MON_1338705461"/>
      <w:bookmarkStart w:id="579" w:name="_MON_1338710161"/>
      <w:bookmarkStart w:id="580" w:name="_MON_1338710183"/>
      <w:bookmarkStart w:id="581" w:name="_MON_1338710792"/>
      <w:bookmarkStart w:id="582" w:name="_MON_1338710857"/>
      <w:bookmarkStart w:id="583" w:name="_MON_1338710884"/>
      <w:bookmarkStart w:id="584" w:name="_MON_1338711260"/>
      <w:bookmarkStart w:id="585" w:name="_MON_1338711378"/>
      <w:bookmarkStart w:id="586" w:name="_MON_1338711440"/>
      <w:bookmarkStart w:id="587" w:name="_MON_1338711586"/>
      <w:bookmarkStart w:id="588" w:name="_MON_1345449122"/>
      <w:bookmarkStart w:id="589" w:name="_MON_1370681174"/>
      <w:bookmarkStart w:id="590" w:name="_MON_1370681253"/>
      <w:bookmarkStart w:id="591" w:name="_MON_1370681341"/>
      <w:bookmarkStart w:id="592" w:name="_MON_1375273738"/>
      <w:bookmarkStart w:id="593" w:name="_MON_1370681708"/>
      <w:bookmarkStart w:id="594" w:name="_MON_1375273972"/>
      <w:bookmarkStart w:id="595" w:name="_MON_1375273985"/>
      <w:bookmarkStart w:id="596" w:name="_MON_1401712166"/>
      <w:bookmarkStart w:id="597" w:name="_MON_1402471443"/>
      <w:bookmarkStart w:id="598" w:name="_MON_1119080346"/>
      <w:bookmarkStart w:id="599" w:name="_MON_1145702816"/>
      <w:bookmarkStart w:id="600" w:name="_MON_1145703147"/>
      <w:bookmarkStart w:id="601" w:name="_MON_1146915405"/>
      <w:bookmarkStart w:id="602" w:name="_MON_1172988134"/>
      <w:bookmarkStart w:id="603" w:name="_MON_1188274861"/>
      <w:bookmarkStart w:id="604" w:name="_MON_1211803230"/>
      <w:bookmarkStart w:id="605" w:name="_MON_1211803382"/>
      <w:bookmarkStart w:id="606" w:name="_MON_1211803500"/>
      <w:bookmarkStart w:id="607" w:name="_MON_1212827810"/>
      <w:bookmarkStart w:id="608" w:name="_MON_1220861904"/>
      <w:bookmarkStart w:id="609" w:name="_MON_1220944125"/>
      <w:bookmarkStart w:id="610" w:name="_MON_1220944171"/>
      <w:bookmarkStart w:id="611" w:name="_MON_1211803414"/>
      <w:bookmarkStart w:id="612" w:name="_MON_1220944332"/>
      <w:bookmarkStart w:id="613" w:name="_MON_1220944376"/>
      <w:bookmarkStart w:id="614" w:name="_MON_1188287322"/>
      <w:bookmarkStart w:id="615" w:name="_MON_1558545779"/>
      <w:bookmarkStart w:id="616" w:name="_MON_1243143985"/>
      <w:bookmarkStart w:id="617" w:name="_MON_1243144062"/>
      <w:bookmarkStart w:id="618" w:name="_MON_1246781227"/>
      <w:bookmarkStart w:id="619" w:name="_MON_1246781649"/>
      <w:bookmarkStart w:id="620" w:name="_MON_1264248635"/>
      <w:bookmarkStart w:id="621" w:name="_MON_1283840500"/>
      <w:bookmarkStart w:id="622" w:name="_MON_1300515725"/>
      <w:bookmarkStart w:id="623" w:name="_MON_1330162298"/>
      <w:bookmarkStart w:id="624" w:name="_MON_1330162383"/>
      <w:bookmarkStart w:id="625" w:name="_MON_1337060329"/>
      <w:bookmarkStart w:id="626" w:name="_MON_1337060502"/>
      <w:bookmarkStart w:id="627" w:name="_MON_1337060613"/>
      <w:bookmarkStart w:id="628" w:name="_MON_1337060751"/>
      <w:bookmarkStart w:id="629" w:name="_MON_1337060767"/>
      <w:bookmarkStart w:id="630" w:name="_MON_1337060776"/>
      <w:bookmarkStart w:id="631" w:name="_MON_1337060786"/>
      <w:bookmarkStart w:id="632" w:name="_MON_1337062627"/>
      <w:bookmarkStart w:id="633" w:name="_MON_1337062639"/>
      <w:bookmarkStart w:id="634" w:name="_MON_1337766462"/>
      <w:bookmarkStart w:id="635" w:name="_MON_1340100068"/>
      <w:bookmarkStart w:id="636" w:name="_MON_1345449418"/>
      <w:bookmarkStart w:id="637" w:name="_MON_1359275934"/>
      <w:bookmarkStart w:id="638" w:name="_MON_1359275967"/>
      <w:bookmarkStart w:id="639" w:name="_MON_1148646917"/>
      <w:bookmarkStart w:id="640" w:name="_MON_1558547457"/>
      <w:bookmarkStart w:id="641" w:name="_MON_1558549545"/>
      <w:bookmarkStart w:id="642" w:name="_MON_1336997171"/>
      <w:bookmarkStart w:id="643" w:name="_MON_1336997994"/>
      <w:bookmarkStart w:id="644" w:name="_MON_1338714090"/>
      <w:bookmarkStart w:id="645" w:name="_MON_1338714200"/>
      <w:bookmarkStart w:id="646" w:name="_MON_1338714258"/>
      <w:bookmarkStart w:id="647" w:name="_MON_1338714282"/>
      <w:bookmarkStart w:id="648" w:name="_MON_1338714334"/>
      <w:bookmarkStart w:id="649" w:name="_MON_1338714355"/>
      <w:bookmarkStart w:id="650" w:name="_MON_1338875720"/>
      <w:bookmarkStart w:id="651" w:name="_MON_1338876901"/>
      <w:bookmarkStart w:id="652" w:name="_MON_1338877002"/>
      <w:bookmarkStart w:id="653" w:name="_MON_1338877326"/>
      <w:bookmarkStart w:id="654" w:name="_MON_1338880349"/>
      <w:bookmarkStart w:id="655" w:name="_MON_1338882589"/>
      <w:bookmarkStart w:id="656" w:name="_MON_1338882605"/>
      <w:bookmarkStart w:id="657" w:name="_MON_1340008209"/>
      <w:bookmarkStart w:id="658" w:name="_MON_1340008446"/>
      <w:bookmarkStart w:id="659" w:name="_MON_1340008531"/>
      <w:bookmarkStart w:id="660" w:name="_MON_1340008539"/>
      <w:bookmarkStart w:id="661" w:name="_MON_1340008565"/>
      <w:bookmarkStart w:id="662" w:name="_MON_1340008767"/>
      <w:bookmarkStart w:id="663" w:name="_MON_1340008785"/>
      <w:bookmarkStart w:id="664" w:name="_MON_1340085978"/>
      <w:bookmarkStart w:id="665" w:name="_MON_1340095989"/>
      <w:bookmarkStart w:id="666" w:name="_MON_1340098210"/>
      <w:bookmarkStart w:id="667" w:name="_MON_1345447854"/>
      <w:bookmarkStart w:id="668" w:name="_MON_1359282548"/>
      <w:bookmarkStart w:id="669" w:name="_MON_1359282558"/>
      <w:bookmarkStart w:id="670" w:name="_MON_1359282586"/>
      <w:bookmarkStart w:id="671" w:name="_MON_1370682125"/>
      <w:bookmarkStart w:id="672" w:name="_MON_1370682204"/>
      <w:bookmarkStart w:id="673" w:name="_MON_1370682306"/>
      <w:bookmarkStart w:id="674" w:name="_MON_1370682341"/>
      <w:bookmarkStart w:id="675" w:name="_MON_1375274154"/>
      <w:bookmarkStart w:id="676" w:name="_MON_1401712397"/>
      <w:bookmarkStart w:id="677" w:name="_MON_1402724457"/>
      <w:bookmarkStart w:id="678" w:name="_MON_1333353501"/>
      <w:bookmarkStart w:id="679" w:name="_MON_1333353636"/>
      <w:bookmarkStart w:id="680" w:name="_MON_1333354001"/>
      <w:bookmarkStart w:id="681" w:name="_MON_1333354128"/>
      <w:bookmarkStart w:id="682" w:name="_MON_1333354150"/>
      <w:bookmarkStart w:id="683" w:name="_MON_1333354159"/>
      <w:bookmarkStart w:id="684" w:name="_MON_1333354177"/>
      <w:bookmarkStart w:id="685" w:name="_MON_1333355510"/>
      <w:bookmarkStart w:id="686" w:name="_MON_1333355560"/>
      <w:bookmarkStart w:id="687" w:name="_MON_1336995628"/>
      <w:bookmarkStart w:id="688" w:name="_MON_1336995737"/>
      <w:bookmarkStart w:id="689" w:name="_MON_1336996688"/>
      <w:bookmarkStart w:id="690" w:name="_MON_1336540763"/>
      <w:bookmarkStart w:id="691" w:name="_MON_1558548054"/>
      <w:bookmarkStart w:id="692" w:name="_MON_1336997147"/>
      <w:bookmarkStart w:id="693" w:name="_MON_1340096320"/>
      <w:bookmarkStart w:id="694" w:name="_MON_1340097105"/>
      <w:bookmarkStart w:id="695" w:name="_MON_1359282515"/>
      <w:bookmarkStart w:id="696" w:name="_MON_1370682240"/>
      <w:bookmarkStart w:id="697" w:name="_MON_1375274236"/>
      <w:bookmarkStart w:id="698" w:name="_MON_1336998325"/>
      <w:bookmarkStart w:id="699" w:name="_MON_1336998451"/>
      <w:bookmarkStart w:id="700" w:name="_MON_1336998461"/>
      <w:bookmarkStart w:id="701" w:name="_MON_1337060847"/>
      <w:bookmarkStart w:id="702" w:name="_MON_1338714433"/>
      <w:bookmarkStart w:id="703" w:name="_MON_1338876987"/>
      <w:bookmarkStart w:id="704" w:name="_MON_1338877013"/>
      <w:bookmarkStart w:id="705" w:name="_MON_1338877040"/>
      <w:bookmarkStart w:id="706" w:name="_MON_1338877075"/>
      <w:bookmarkStart w:id="707" w:name="_MON_1338877367"/>
      <w:bookmarkStart w:id="708" w:name="_MON_1338877494"/>
      <w:bookmarkStart w:id="709" w:name="_MON_1338877504"/>
      <w:bookmarkStart w:id="710" w:name="_MON_1340008598"/>
      <w:bookmarkStart w:id="711" w:name="_MON_1340008640"/>
      <w:bookmarkStart w:id="712" w:name="_MON_1340086048"/>
      <w:bookmarkStart w:id="713" w:name="_MON_1340086115"/>
      <w:bookmarkStart w:id="714" w:name="_MON_1402724549"/>
      <w:bookmarkStart w:id="715" w:name="_MON_1368594744"/>
      <w:bookmarkStart w:id="716" w:name="_MON_1368594977"/>
      <w:bookmarkStart w:id="717" w:name="_MON_1370682521"/>
      <w:bookmarkStart w:id="718" w:name="_MON_1401009270"/>
      <w:bookmarkStart w:id="719" w:name="_MON_1375274382"/>
      <w:bookmarkStart w:id="720" w:name="_MON_1401009312"/>
      <w:bookmarkStart w:id="721" w:name="_MON_1401712547"/>
      <w:bookmarkStart w:id="722" w:name="_MON_1368594638"/>
      <w:bookmarkStart w:id="723" w:name="_MON_1300515858"/>
      <w:bookmarkStart w:id="724" w:name="_MON_1243144200"/>
      <w:bookmarkStart w:id="725" w:name="_MON_1368530090"/>
      <w:bookmarkStart w:id="726" w:name="_MON_1370683038"/>
      <w:bookmarkStart w:id="727" w:name="_MON_1402724825"/>
      <w:bookmarkStart w:id="728" w:name="_MON_1220945796"/>
      <w:bookmarkStart w:id="729" w:name="_MON_1370683078"/>
      <w:bookmarkStart w:id="730" w:name="_MON_1402724884"/>
      <w:bookmarkStart w:id="731" w:name="_MON_1361341012"/>
      <w:bookmarkStart w:id="732" w:name="_MON_1361774775"/>
      <w:bookmarkStart w:id="733" w:name="_MON_1361774867"/>
      <w:bookmarkStart w:id="734" w:name="_MON_1370683122"/>
      <w:bookmarkStart w:id="735" w:name="_MON_1401712759"/>
      <w:bookmarkStart w:id="736" w:name="_MON_1401712789"/>
      <w:bookmarkStart w:id="737" w:name="_MON_1401712810"/>
      <w:bookmarkStart w:id="738" w:name="_MON_1402755494"/>
      <w:bookmarkStart w:id="739" w:name="_MON_1421560689"/>
      <w:bookmarkStart w:id="740" w:name="_MON_1421560857"/>
      <w:bookmarkStart w:id="741" w:name="_MON_1421560879"/>
      <w:bookmarkStart w:id="742" w:name="_MON_1421560916"/>
      <w:bookmarkStart w:id="743" w:name="_MON_1119166696"/>
      <w:bookmarkStart w:id="744" w:name="_MON_1188275422"/>
      <w:bookmarkStart w:id="745" w:name="_MON_1188275445"/>
      <w:bookmarkStart w:id="746" w:name="_MON_1188275502"/>
      <w:bookmarkStart w:id="747" w:name="_MON_1188275562"/>
      <w:bookmarkStart w:id="748" w:name="_MON_1188287735"/>
      <w:bookmarkStart w:id="749" w:name="_MON_1220945873"/>
      <w:bookmarkStart w:id="750" w:name="_MON_1220945987"/>
      <w:bookmarkStart w:id="751" w:name="_MON_1220945999"/>
      <w:bookmarkStart w:id="752" w:name="_MON_1220946051"/>
      <w:bookmarkStart w:id="753" w:name="_MON_1220946061"/>
      <w:bookmarkStart w:id="754" w:name="_MON_1276942293"/>
      <w:bookmarkStart w:id="755" w:name="_MON_1276942419"/>
      <w:bookmarkStart w:id="756" w:name="_MON_1276942432"/>
      <w:bookmarkStart w:id="757" w:name="_MON_1276942443"/>
      <w:bookmarkStart w:id="758" w:name="_MON_1283840792"/>
      <w:bookmarkStart w:id="759" w:name="_MON_1188275783"/>
      <w:bookmarkStart w:id="760" w:name="_MON_1188275911"/>
      <w:bookmarkStart w:id="761" w:name="_MON_1188288315"/>
      <w:bookmarkStart w:id="762" w:name="_MON_1220946097"/>
      <w:bookmarkStart w:id="763" w:name="_MON_1220946121"/>
      <w:bookmarkStart w:id="764" w:name="_MON_1370683180"/>
      <w:bookmarkStart w:id="765" w:name="_MON_1402210796"/>
      <w:bookmarkStart w:id="766" w:name="_MON_1118969161"/>
      <w:bookmarkStart w:id="767" w:name="_MON_1118969207"/>
      <w:bookmarkStart w:id="768" w:name="_MON_1491809481"/>
      <w:bookmarkStart w:id="769" w:name="_MON_1345452673"/>
      <w:bookmarkStart w:id="770" w:name="_MON_1119091993"/>
      <w:bookmarkStart w:id="771" w:name="_MON_1188278645"/>
      <w:bookmarkStart w:id="772" w:name="_MON_1119089002"/>
      <w:bookmarkStart w:id="773" w:name="_MON_1119169473"/>
      <w:bookmarkStart w:id="774" w:name="_MON_1119169513"/>
      <w:bookmarkStart w:id="775" w:name="_MON_1148646629"/>
      <w:bookmarkStart w:id="776" w:name="_MON_1188219394"/>
      <w:bookmarkStart w:id="777" w:name="_MON_1188284564"/>
      <w:bookmarkStart w:id="778" w:name="_MON_1192364317"/>
      <w:bookmarkStart w:id="779" w:name="_MON_1208244789"/>
      <w:bookmarkStart w:id="780" w:name="_MON_1208245503"/>
      <w:bookmarkStart w:id="781" w:name="_MON_1220941085"/>
      <w:bookmarkStart w:id="782" w:name="_MON_1220941113"/>
      <w:bookmarkStart w:id="783" w:name="_MON_1220941174"/>
      <w:bookmarkStart w:id="784" w:name="_MON_1220941418"/>
      <w:bookmarkStart w:id="785" w:name="_MON_1220941431"/>
      <w:bookmarkStart w:id="786" w:name="_MON_1243143787"/>
      <w:bookmarkStart w:id="787" w:name="_MON_1246779975"/>
      <w:bookmarkStart w:id="788" w:name="_MON_1264248475"/>
      <w:bookmarkStart w:id="789" w:name="_MON_1276942072"/>
      <w:bookmarkStart w:id="790" w:name="_MON_1283838914"/>
      <w:bookmarkStart w:id="791" w:name="_MON_1300273530"/>
      <w:bookmarkStart w:id="792" w:name="_MON_1302418691"/>
      <w:bookmarkStart w:id="793" w:name="_MON_1331964682"/>
      <w:bookmarkStart w:id="794" w:name="_MON_1331965965"/>
      <w:bookmarkStart w:id="795" w:name="_MON_1340111319"/>
      <w:bookmarkStart w:id="796" w:name="_MON_1349263984"/>
      <w:bookmarkStart w:id="797" w:name="_MON_1349264014"/>
      <w:bookmarkStart w:id="798" w:name="_MON_1362377535"/>
      <w:bookmarkStart w:id="799" w:name="_MON_1372850722"/>
      <w:bookmarkStart w:id="800" w:name="_MON_1375524119"/>
      <w:bookmarkStart w:id="801" w:name="_MON_1401869000"/>
      <w:bookmarkStart w:id="802" w:name="_MON_1421065262"/>
      <w:bookmarkStart w:id="803" w:name="_MON_1421493705"/>
      <w:bookmarkStart w:id="804" w:name="_MON_1421493804"/>
      <w:bookmarkStart w:id="805" w:name="_MON_1421494123"/>
      <w:bookmarkStart w:id="806" w:name="_MON_1421494145"/>
      <w:bookmarkStart w:id="807" w:name="_MON_1421494169"/>
      <w:bookmarkStart w:id="808" w:name="_MON_1421494404"/>
      <w:bookmarkStart w:id="809" w:name="_MON_1421494417"/>
      <w:bookmarkStart w:id="810" w:name="_MON_1421494764"/>
      <w:bookmarkStart w:id="811" w:name="_MON_1421495003"/>
      <w:bookmarkStart w:id="812" w:name="_MON_1421495088"/>
      <w:bookmarkStart w:id="813" w:name="_MON_1421495198"/>
      <w:bookmarkStart w:id="814" w:name="_MON_1421496347"/>
      <w:bookmarkStart w:id="815" w:name="_MON_1421496400"/>
      <w:bookmarkStart w:id="816" w:name="_MON_1421497115"/>
      <w:bookmarkStart w:id="817" w:name="_MON_1421497165"/>
      <w:bookmarkStart w:id="818" w:name="_MON_1421497173"/>
      <w:bookmarkStart w:id="819" w:name="_MON_1421497208"/>
      <w:bookmarkStart w:id="820" w:name="_MON_1421497230"/>
      <w:bookmarkStart w:id="821" w:name="_MON_1421497284"/>
      <w:bookmarkStart w:id="822" w:name="_MON_1421497299"/>
      <w:bookmarkStart w:id="823" w:name="_MON_1421497310"/>
      <w:bookmarkStart w:id="824" w:name="_MON_1421497390"/>
      <w:bookmarkStart w:id="825" w:name="_MON_1421497509"/>
      <w:bookmarkStart w:id="826" w:name="_MON_1421497524"/>
      <w:bookmarkStart w:id="827" w:name="_MON_1421497588"/>
      <w:bookmarkStart w:id="828" w:name="_MON_1421557221"/>
      <w:bookmarkStart w:id="829" w:name="_MON_1421561003"/>
      <w:bookmarkStart w:id="830" w:name="_MON_1421561212"/>
      <w:bookmarkStart w:id="831" w:name="_MON_1421561333"/>
      <w:bookmarkStart w:id="832" w:name="_MON_1421561345"/>
      <w:bookmarkStart w:id="833" w:name="_MON_1421561369"/>
      <w:bookmarkStart w:id="834" w:name="_MON_1421497980"/>
      <w:bookmarkStart w:id="835" w:name="_MON_1421498314"/>
      <w:bookmarkStart w:id="836" w:name="_MON_1421498423"/>
      <w:bookmarkStart w:id="837" w:name="_MON_1421556808"/>
      <w:bookmarkStart w:id="838" w:name="_MON_1421556870"/>
      <w:bookmarkStart w:id="839" w:name="_MON_1421560362"/>
      <w:bookmarkStart w:id="840" w:name="_MON_1421560309"/>
      <w:bookmarkStart w:id="841" w:name="_MON_1421562257"/>
      <w:bookmarkStart w:id="842" w:name="_MON_1421562296"/>
      <w:bookmarkStart w:id="843" w:name="_MON_1421495243"/>
      <w:bookmarkStart w:id="844" w:name="_MON_1421495294"/>
      <w:bookmarkStart w:id="845" w:name="_MON_1421497343"/>
      <w:bookmarkStart w:id="846" w:name="_MON_1421497412"/>
      <w:bookmarkStart w:id="847" w:name="_MON_1421497699"/>
      <w:bookmarkStart w:id="848" w:name="_MON_1421497759"/>
      <w:bookmarkStart w:id="849" w:name="_MON_1421562837"/>
      <w:bookmarkStart w:id="850" w:name="_MON_1188278912"/>
      <w:bookmarkStart w:id="851" w:name="_MON_1211811862"/>
      <w:bookmarkStart w:id="852" w:name="_MON_1220949802"/>
      <w:bookmarkStart w:id="853" w:name="_MON_1220949822"/>
      <w:bookmarkStart w:id="854" w:name="_MON_1243077354"/>
      <w:bookmarkStart w:id="855" w:name="_MON_1264506365"/>
      <w:bookmarkStart w:id="856" w:name="_MON_1300788231"/>
      <w:bookmarkStart w:id="857" w:name="_MON_1330161911"/>
      <w:bookmarkStart w:id="858" w:name="_MON_1345452861"/>
      <w:bookmarkStart w:id="859" w:name="_MON_1359289174"/>
      <w:bookmarkStart w:id="860" w:name="_MON_1396963829"/>
      <w:bookmarkStart w:id="861" w:name="_MON_1396963855"/>
      <w:bookmarkStart w:id="862" w:name="_MON_1402725010"/>
      <w:bookmarkStart w:id="863" w:name="_MON_1402749941"/>
      <w:bookmarkStart w:id="864" w:name="_MON_1340100447"/>
      <w:bookmarkStart w:id="865" w:name="_MON_1340100489"/>
      <w:bookmarkStart w:id="866" w:name="_MON_1340100495"/>
      <w:bookmarkStart w:id="867" w:name="_MON_1345453471"/>
      <w:bookmarkStart w:id="868" w:name="_MON_1375275344"/>
      <w:bookmarkStart w:id="869" w:name="_MON_1401009605"/>
      <w:bookmarkStart w:id="870" w:name="_MON_1402724675"/>
      <w:bookmarkStart w:id="871" w:name="_MON_1340100483"/>
      <w:bookmarkStart w:id="872" w:name="_MON_1340100509"/>
      <w:bookmarkStart w:id="873" w:name="_MON_1345453663"/>
      <w:bookmarkStart w:id="874" w:name="_MON_1340100455"/>
      <w:bookmarkStart w:id="875" w:name="_MON_1340098394"/>
      <w:bookmarkStart w:id="876" w:name="_MON_1340100461"/>
      <w:bookmarkStart w:id="877" w:name="_MON_134545368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sidRPr="00E039B2">
        <w:rPr>
          <w:rFonts w:ascii="Arial" w:eastAsia="Times New Roman" w:hAnsi="Arial" w:cs="Arial"/>
        </w:rPr>
        <w:t>nd.</w:t>
      </w:r>
      <w:r w:rsidRPr="00E039B2">
        <w:rPr>
          <w:rFonts w:ascii="Arial" w:eastAsia="Times New Roman" w:hAnsi="Arial" w:cs="Arial"/>
          <w:b/>
          <w:i/>
          <w:color w:val="0000FF"/>
        </w:rPr>
        <w:t xml:space="preserve"> [Modify as considered necessary. Other purchases that are not significant to the financial statements may be omitted.]</w:t>
      </w:r>
    </w:p>
    <w:p w14:paraId="195FF699" w14:textId="67955EA0" w:rsidR="00FE2C64" w:rsidRPr="00E039B2" w:rsidRDefault="00FE2C64" w:rsidP="00FE2C64">
      <w:pPr>
        <w:spacing w:before="240" w:after="240" w:line="240" w:lineRule="auto"/>
        <w:ind w:left="1915" w:hanging="475"/>
        <w:jc w:val="both"/>
        <w:rPr>
          <w:rFonts w:ascii="Arial" w:eastAsia="Times New Roman" w:hAnsi="Arial" w:cs="Arial"/>
          <w:b/>
          <w:i/>
          <w:color w:val="0000FF"/>
        </w:rPr>
      </w:pPr>
      <w:r w:rsidRPr="00E039B2">
        <w:rPr>
          <w:rFonts w:ascii="Arial" w:eastAsia="Times New Roman" w:hAnsi="Arial" w:cs="Arial"/>
          <w:b/>
        </w:rPr>
        <w:t xml:space="preserve">E.    No Commitment Debt </w:t>
      </w:r>
      <w:r w:rsidRPr="00E039B2">
        <w:rPr>
          <w:rFonts w:ascii="Arial" w:eastAsia="Times New Roman" w:hAnsi="Arial" w:cs="Arial"/>
        </w:rPr>
        <w:t>-</w:t>
      </w:r>
      <w:r w:rsidRPr="00E039B2">
        <w:rPr>
          <w:rFonts w:ascii="Arial" w:eastAsia="Times New Roman" w:hAnsi="Arial" w:cs="Arial"/>
          <w:b/>
        </w:rPr>
        <w:t xml:space="preserve"> </w:t>
      </w:r>
      <w:r w:rsidRPr="00E039B2">
        <w:rPr>
          <w:rFonts w:ascii="Arial" w:eastAsia="Times New Roman" w:hAnsi="Arial" w:cs="Arial"/>
          <w:b/>
          <w:i/>
          <w:color w:val="0000FF"/>
        </w:rPr>
        <w:t>[Describe any No Commitment Debt that could have a material effect on the financial statements</w:t>
      </w:r>
      <w:proofErr w:type="gramStart"/>
      <w:r w:rsidRPr="00E039B2">
        <w:rPr>
          <w:rFonts w:ascii="Arial" w:eastAsia="Times New Roman" w:hAnsi="Arial" w:cs="Arial"/>
          <w:b/>
          <w:i/>
          <w:color w:val="0000FF"/>
        </w:rPr>
        <w:t>.][</w:t>
      </w:r>
      <w:proofErr w:type="gramEnd"/>
      <w:r w:rsidRPr="00E039B2">
        <w:rPr>
          <w:rFonts w:ascii="Arial" w:eastAsia="Times New Roman" w:hAnsi="Arial" w:cs="Arial"/>
          <w:b/>
          <w:i/>
          <w:color w:val="0000FF"/>
        </w:rPr>
        <w:t>Omit if none exist.]</w:t>
      </w:r>
    </w:p>
    <w:p w14:paraId="61C2B605" w14:textId="77777777" w:rsidR="00FE2C64" w:rsidRPr="00E039B2" w:rsidRDefault="00FE2C64" w:rsidP="00FE2C64">
      <w:pPr>
        <w:tabs>
          <w:tab w:val="left" w:pos="1080"/>
        </w:tabs>
        <w:spacing w:after="240" w:line="240" w:lineRule="auto"/>
        <w:ind w:left="1440" w:hanging="1440"/>
        <w:rPr>
          <w:rFonts w:ascii="Arial Bold" w:eastAsia="Times New Roman" w:hAnsi="Arial Bold" w:cs="Arial"/>
          <w:b/>
          <w:smallCaps/>
        </w:rPr>
      </w:pPr>
      <w:r w:rsidRPr="00E039B2">
        <w:rPr>
          <w:rFonts w:ascii="Arial" w:eastAsia="Times New Roman" w:hAnsi="Arial" w:cs="Arial"/>
          <w:b/>
          <w:smallCaps/>
        </w:rPr>
        <w:t>Note 18</w:t>
      </w:r>
      <w:r w:rsidRPr="00E039B2">
        <w:rPr>
          <w:rFonts w:ascii="Arial" w:eastAsia="Times New Roman" w:hAnsi="Arial" w:cs="Arial"/>
          <w:b/>
          <w:smallCaps/>
        </w:rPr>
        <w:tab/>
        <w:t xml:space="preserve"> - </w:t>
      </w:r>
      <w:r w:rsidRPr="00E039B2">
        <w:rPr>
          <w:rFonts w:ascii="Arial" w:eastAsia="Times New Roman" w:hAnsi="Arial" w:cs="Arial"/>
          <w:b/>
          <w:smallCaps/>
        </w:rPr>
        <w:tab/>
        <w:t>Changes in Financial Accounting and Reporting</w:t>
      </w:r>
    </w:p>
    <w:p w14:paraId="5524DC13" w14:textId="029529C3" w:rsidR="00FE2C64" w:rsidRPr="003C24F6" w:rsidRDefault="00FE2C64" w:rsidP="003C24F6">
      <w:pPr>
        <w:spacing w:after="240" w:line="240" w:lineRule="auto"/>
        <w:ind w:left="1440"/>
        <w:jc w:val="both"/>
        <w:rPr>
          <w:rFonts w:ascii="Arial" w:eastAsia="Times New Roman" w:hAnsi="Arial" w:cs="Arial"/>
        </w:rPr>
      </w:pPr>
      <w:r w:rsidRPr="00E039B2">
        <w:rPr>
          <w:rFonts w:ascii="Arial" w:eastAsia="Times New Roman" w:hAnsi="Arial" w:cs="Arial"/>
        </w:rPr>
        <w:t xml:space="preserve">For the fiscal year ended June 30, </w:t>
      </w:r>
      <w:r w:rsidRPr="00E039B2">
        <w:rPr>
          <w:rFonts w:ascii="Arial" w:eastAsia="Times New Roman" w:hAnsi="Arial" w:cs="Arial"/>
          <w:highlight w:val="yellow"/>
        </w:rPr>
        <w:t>2020</w:t>
      </w:r>
      <w:r w:rsidRPr="00E039B2">
        <w:rPr>
          <w:rFonts w:ascii="Arial" w:eastAsia="Times New Roman" w:hAnsi="Arial" w:cs="Arial"/>
        </w:rPr>
        <w:t>, the Department implemented the following pronouncements issued by the Governmental Accounting Standards Board (GASB):</w:t>
      </w:r>
    </w:p>
    <w:p w14:paraId="021BB7D9" w14:textId="77777777" w:rsidR="00FE2C64" w:rsidRPr="00E039B2" w:rsidRDefault="00FE2C64" w:rsidP="00FE2C64">
      <w:pPr>
        <w:autoSpaceDE w:val="0"/>
        <w:autoSpaceDN w:val="0"/>
        <w:adjustRightInd w:val="0"/>
        <w:spacing w:after="0" w:line="240" w:lineRule="auto"/>
        <w:ind w:left="2160"/>
        <w:jc w:val="both"/>
        <w:rPr>
          <w:rFonts w:ascii="Arial" w:eastAsia="Times New Roman" w:hAnsi="Arial" w:cs="Arial"/>
          <w:i/>
          <w:highlight w:val="yellow"/>
        </w:rPr>
      </w:pPr>
      <w:r w:rsidRPr="00E039B2">
        <w:rPr>
          <w:rFonts w:ascii="Arial" w:eastAsia="Times New Roman" w:hAnsi="Arial" w:cs="Arial"/>
          <w:i/>
          <w:highlight w:val="yellow"/>
        </w:rPr>
        <w:t>GASB Statement No. 89, Accounting for Interest Costs Incurred before the End of a Construction Period</w:t>
      </w:r>
    </w:p>
    <w:p w14:paraId="7C68A55E" w14:textId="77777777" w:rsidR="00FE2C64" w:rsidRPr="00E039B2" w:rsidRDefault="00FE2C64" w:rsidP="00FE2C64">
      <w:pPr>
        <w:autoSpaceDE w:val="0"/>
        <w:autoSpaceDN w:val="0"/>
        <w:adjustRightInd w:val="0"/>
        <w:spacing w:after="0" w:line="240" w:lineRule="auto"/>
        <w:ind w:left="2160"/>
        <w:jc w:val="both"/>
        <w:rPr>
          <w:rFonts w:ascii="Arial" w:eastAsia="Times New Roman" w:hAnsi="Arial" w:cs="Arial"/>
          <w:i/>
          <w:highlight w:val="yellow"/>
        </w:rPr>
      </w:pPr>
    </w:p>
    <w:p w14:paraId="559D076D" w14:textId="77777777" w:rsidR="00FE2C64" w:rsidRPr="00E039B2" w:rsidRDefault="00FE2C64" w:rsidP="00FE2C64">
      <w:pPr>
        <w:autoSpaceDE w:val="0"/>
        <w:autoSpaceDN w:val="0"/>
        <w:adjustRightInd w:val="0"/>
        <w:spacing w:after="0" w:line="240" w:lineRule="auto"/>
        <w:ind w:left="2160"/>
        <w:jc w:val="both"/>
        <w:rPr>
          <w:rFonts w:ascii="Arial" w:eastAsia="Times New Roman" w:hAnsi="Arial" w:cs="Arial"/>
          <w:strike/>
          <w:highlight w:val="green"/>
        </w:rPr>
      </w:pPr>
      <w:r w:rsidRPr="00E039B2">
        <w:rPr>
          <w:rFonts w:ascii="Arial" w:eastAsia="Times New Roman" w:hAnsi="Arial" w:cs="Arial"/>
          <w:i/>
          <w:highlight w:val="yellow"/>
        </w:rPr>
        <w:t>GASB Statement No. 95, Postponement of the Effective Dates of Certain Authoritative Guidance</w:t>
      </w:r>
    </w:p>
    <w:p w14:paraId="3A2DDAFF" w14:textId="77777777" w:rsidR="00FE2C64" w:rsidRPr="00E039B2" w:rsidRDefault="00FE2C64" w:rsidP="003C24F6">
      <w:pPr>
        <w:spacing w:after="0" w:line="240" w:lineRule="auto"/>
        <w:jc w:val="both"/>
        <w:rPr>
          <w:rFonts w:ascii="Arial" w:eastAsia="Times New Roman" w:hAnsi="Arial" w:cs="Arial"/>
          <w:highlight w:val="yellow"/>
          <w:lang w:val="en"/>
        </w:rPr>
      </w:pPr>
    </w:p>
    <w:p w14:paraId="0C373BE3" w14:textId="360D7A15" w:rsidR="00FE2C64" w:rsidRPr="00E039B2" w:rsidRDefault="00FE2C64" w:rsidP="00FE2C64">
      <w:pPr>
        <w:spacing w:after="0" w:line="240" w:lineRule="auto"/>
        <w:ind w:left="1440"/>
        <w:jc w:val="both"/>
        <w:rPr>
          <w:rFonts w:ascii="Arial" w:eastAsia="Times New Roman" w:hAnsi="Arial" w:cs="Arial"/>
          <w:highlight w:val="yellow"/>
          <w:lang w:val="en"/>
        </w:rPr>
      </w:pPr>
      <w:r w:rsidRPr="00E039B2">
        <w:rPr>
          <w:rFonts w:ascii="Arial" w:eastAsia="Times New Roman" w:hAnsi="Arial" w:cs="Arial"/>
          <w:highlight w:val="yellow"/>
          <w:lang w:val="en"/>
        </w:rPr>
        <w:t>GASB Statement No. 89 establishes accounting requirement</w:t>
      </w:r>
      <w:r w:rsidR="00A978FC" w:rsidRPr="00E039B2">
        <w:rPr>
          <w:rFonts w:ascii="Arial" w:eastAsia="Times New Roman" w:hAnsi="Arial" w:cs="Arial"/>
          <w:highlight w:val="yellow"/>
          <w:lang w:val="en"/>
        </w:rPr>
        <w:t>s</w:t>
      </w:r>
      <w:r w:rsidRPr="00E039B2">
        <w:rPr>
          <w:rFonts w:ascii="Arial" w:eastAsia="Times New Roman" w:hAnsi="Arial" w:cs="Arial"/>
          <w:highlight w:val="yellow"/>
          <w:lang w:val="en"/>
        </w:rPr>
        <w:t xml:space="preserve"> for interest cost incurred before the end of a construction period. Interest cost incurred before the end of a construction period be recognized as an expense in the period in which the cost is incurred for financial statements prepared using the economic resources measurement focus. Interest cost incurred before the end of a construction period will not be included in the historical cost of a capital asset reported in a business-type activity.</w:t>
      </w:r>
      <w:r w:rsidR="00A978FC" w:rsidRPr="00E039B2">
        <w:rPr>
          <w:rFonts w:ascii="Arial" w:eastAsia="Times New Roman" w:hAnsi="Arial" w:cs="Arial"/>
          <w:highlight w:val="yellow"/>
          <w:lang w:val="en"/>
        </w:rPr>
        <w:t xml:space="preserve"> The requirements of this Statement have been applied prospectively. </w:t>
      </w:r>
    </w:p>
    <w:p w14:paraId="3E011F60" w14:textId="77777777" w:rsidR="00FE2C64" w:rsidRPr="00E039B2" w:rsidRDefault="00FE2C64" w:rsidP="00FE2C64">
      <w:pPr>
        <w:spacing w:after="0" w:line="240" w:lineRule="auto"/>
        <w:jc w:val="both"/>
        <w:rPr>
          <w:rFonts w:ascii="Arial" w:eastAsia="Times New Roman" w:hAnsi="Arial" w:cs="Arial"/>
          <w:highlight w:val="yellow"/>
          <w:lang w:val="en"/>
        </w:rPr>
      </w:pPr>
    </w:p>
    <w:p w14:paraId="4C1D6A49" w14:textId="3E113C57" w:rsidR="00FE2C64" w:rsidRPr="00E039B2" w:rsidRDefault="00FE2C64" w:rsidP="00FE2C64">
      <w:pPr>
        <w:spacing w:after="0" w:line="240" w:lineRule="auto"/>
        <w:ind w:left="1440"/>
        <w:jc w:val="both"/>
        <w:rPr>
          <w:rFonts w:ascii="Arial" w:eastAsia="Times New Roman" w:hAnsi="Arial" w:cs="Arial"/>
          <w:highlight w:val="yellow"/>
          <w:lang w:val="en"/>
        </w:rPr>
      </w:pPr>
      <w:r w:rsidRPr="00E039B2">
        <w:rPr>
          <w:rFonts w:ascii="Arial" w:eastAsia="Times New Roman" w:hAnsi="Arial" w:cs="Arial"/>
          <w:highlight w:val="yellow"/>
          <w:lang w:val="en"/>
        </w:rPr>
        <w:t>GASB Statement No. 95 provides temporary relief to governments and other stakeholders in light of the COVID-19 pandemic by postponing the effective dates of certain provisions in Statements and Implementation Guides that first became effective or are scheduled to become effective for period</w:t>
      </w:r>
      <w:r w:rsidR="00A978FC" w:rsidRPr="00E039B2">
        <w:rPr>
          <w:rFonts w:ascii="Arial" w:eastAsia="Times New Roman" w:hAnsi="Arial" w:cs="Arial"/>
          <w:highlight w:val="yellow"/>
          <w:lang w:val="en"/>
        </w:rPr>
        <w:t>s</w:t>
      </w:r>
      <w:r w:rsidRPr="00E039B2">
        <w:rPr>
          <w:rFonts w:ascii="Arial" w:eastAsia="Times New Roman" w:hAnsi="Arial" w:cs="Arial"/>
          <w:highlight w:val="yellow"/>
          <w:lang w:val="en"/>
        </w:rPr>
        <w:t xml:space="preserve"> beginning after June 15, 2018</w:t>
      </w:r>
      <w:r w:rsidR="00A978FC" w:rsidRPr="00E039B2">
        <w:rPr>
          <w:rFonts w:ascii="Arial" w:eastAsia="Times New Roman" w:hAnsi="Arial" w:cs="Arial"/>
          <w:highlight w:val="yellow"/>
          <w:lang w:val="en"/>
        </w:rPr>
        <w:t>,</w:t>
      </w:r>
      <w:r w:rsidRPr="00E039B2">
        <w:rPr>
          <w:rFonts w:ascii="Arial" w:eastAsia="Times New Roman" w:hAnsi="Arial" w:cs="Arial"/>
          <w:highlight w:val="yellow"/>
          <w:lang w:val="en"/>
        </w:rPr>
        <w:t xml:space="preserve"> and later.</w:t>
      </w:r>
    </w:p>
    <w:p w14:paraId="1F834624" w14:textId="77777777" w:rsidR="00FE2C64" w:rsidRPr="00E039B2" w:rsidRDefault="00FE2C64" w:rsidP="00FE2C64">
      <w:pPr>
        <w:spacing w:after="0" w:line="240" w:lineRule="auto"/>
        <w:ind w:left="1440"/>
        <w:jc w:val="both"/>
        <w:rPr>
          <w:rFonts w:ascii="Arial" w:eastAsia="Times New Roman" w:hAnsi="Arial" w:cs="Arial"/>
          <w:highlight w:val="yellow"/>
          <w:lang w:val="en"/>
        </w:rPr>
      </w:pPr>
    </w:p>
    <w:p w14:paraId="0A26A1D5" w14:textId="1DCCBCDA" w:rsidR="00FE2C64" w:rsidRPr="00E039B2" w:rsidRDefault="00FE2C64" w:rsidP="00FE2C64">
      <w:pPr>
        <w:spacing w:after="0" w:line="240" w:lineRule="auto"/>
        <w:ind w:left="1440"/>
        <w:jc w:val="both"/>
        <w:rPr>
          <w:rFonts w:ascii="Arial" w:eastAsia="Times New Roman" w:hAnsi="Arial" w:cs="Arial"/>
        </w:rPr>
      </w:pPr>
      <w:r w:rsidRPr="00E039B2">
        <w:rPr>
          <w:rFonts w:ascii="Arial" w:eastAsia="Times New Roman" w:hAnsi="Arial" w:cs="Arial"/>
          <w:b/>
          <w:i/>
          <w:color w:val="0000FF"/>
        </w:rPr>
        <w:t xml:space="preserve">[Note to Preparer: If a GASB listed here does not impact your Department, remove the GASB.  If no GASBs listed impact your Department, remove the </w:t>
      </w:r>
      <w:r w:rsidRPr="00E039B2">
        <w:rPr>
          <w:rFonts w:ascii="Arial" w:eastAsia="Times New Roman" w:hAnsi="Arial" w:cs="Arial"/>
          <w:b/>
          <w:i/>
          <w:color w:val="0000FF"/>
          <w:highlight w:val="yellow"/>
        </w:rPr>
        <w:t>disclosure</w:t>
      </w:r>
      <w:r w:rsidRPr="00E039B2">
        <w:rPr>
          <w:rFonts w:ascii="Arial" w:eastAsia="Times New Roman" w:hAnsi="Arial" w:cs="Arial"/>
          <w:b/>
          <w:i/>
          <w:color w:val="0000FF"/>
        </w:rPr>
        <w:t xml:space="preserve"> entirely.]</w:t>
      </w:r>
    </w:p>
    <w:p w14:paraId="071B1830" w14:textId="4B3D34E1" w:rsidR="00FE2C64" w:rsidRPr="00E039B2" w:rsidRDefault="00FE2C64" w:rsidP="00FE2C64">
      <w:pPr>
        <w:spacing w:after="0" w:line="240" w:lineRule="auto"/>
        <w:rPr>
          <w:rFonts w:ascii="Times New Roman" w:eastAsia="Times New Roman" w:hAnsi="Times New Roman" w:cs="Times New Roman"/>
          <w:b/>
        </w:rPr>
      </w:pPr>
    </w:p>
    <w:p w14:paraId="169062BF" w14:textId="6BC17415" w:rsidR="001040C8" w:rsidRPr="00E039B2" w:rsidRDefault="001040C8" w:rsidP="001040C8">
      <w:pPr>
        <w:tabs>
          <w:tab w:val="left" w:pos="1080"/>
        </w:tabs>
        <w:spacing w:before="240" w:after="240" w:line="240" w:lineRule="auto"/>
        <w:rPr>
          <w:rFonts w:ascii="Arial" w:eastAsia="Times New Roman" w:hAnsi="Arial" w:cs="Arial"/>
          <w:b/>
          <w:smallCaps/>
        </w:rPr>
      </w:pPr>
      <w:r w:rsidRPr="00E039B2">
        <w:rPr>
          <w:rFonts w:ascii="Arial" w:eastAsia="Times New Roman" w:hAnsi="Arial" w:cs="Arial"/>
          <w:b/>
          <w:smallCaps/>
        </w:rPr>
        <w:t>Note 1</w:t>
      </w:r>
      <w:r w:rsidR="00D46EDA" w:rsidRPr="00E039B2">
        <w:rPr>
          <w:rFonts w:ascii="Arial" w:eastAsia="Times New Roman" w:hAnsi="Arial" w:cs="Arial"/>
          <w:b/>
          <w:smallCaps/>
        </w:rPr>
        <w:t>9</w:t>
      </w:r>
      <w:r w:rsidRPr="00E039B2">
        <w:rPr>
          <w:rFonts w:ascii="Arial" w:eastAsia="Times New Roman" w:hAnsi="Arial" w:cs="Arial"/>
          <w:b/>
          <w:smallCaps/>
        </w:rPr>
        <w:tab/>
        <w:t>-</w:t>
      </w:r>
      <w:r w:rsidRPr="00E039B2">
        <w:rPr>
          <w:rFonts w:ascii="Arial" w:eastAsia="Times New Roman" w:hAnsi="Arial" w:cs="Arial"/>
          <w:b/>
          <w:smallCaps/>
        </w:rPr>
        <w:tab/>
        <w:t>Fund Balance/Net Position Restatement</w:t>
      </w:r>
      <w:r w:rsidRPr="00E039B2">
        <w:rPr>
          <w:rFonts w:ascii="Arial" w:eastAsia="Times New Roman" w:hAnsi="Arial" w:cs="Arial"/>
          <w:b/>
          <w:i/>
          <w:smallCaps/>
        </w:rPr>
        <w:t xml:space="preserve">(s) </w:t>
      </w:r>
      <w:r w:rsidRPr="00E039B2">
        <w:rPr>
          <w:rFonts w:ascii="Arial" w:eastAsia="Times New Roman" w:hAnsi="Arial" w:cs="Arial"/>
          <w:b/>
          <w:bCs/>
          <w:i/>
          <w:iCs/>
          <w:color w:val="0000FF"/>
        </w:rPr>
        <w:t>[Remove Net Position if no Proprietary/Fiduciary Fund Restatement]</w:t>
      </w:r>
    </w:p>
    <w:p w14:paraId="3C28EA51" w14:textId="0A4AEF61" w:rsidR="001040C8" w:rsidRPr="00E039B2" w:rsidRDefault="001040C8" w:rsidP="001040C8">
      <w:pPr>
        <w:spacing w:after="240" w:line="240" w:lineRule="auto"/>
        <w:ind w:left="1440"/>
        <w:jc w:val="both"/>
        <w:rPr>
          <w:rFonts w:ascii="Arial" w:eastAsia="Times New Roman" w:hAnsi="Arial" w:cs="Arial"/>
          <w:b/>
          <w:bCs/>
          <w:i/>
          <w:iCs/>
          <w:color w:val="0000FF"/>
        </w:rPr>
      </w:pPr>
      <w:r w:rsidRPr="00E039B2">
        <w:rPr>
          <w:rFonts w:ascii="Arial" w:eastAsia="Times New Roman" w:hAnsi="Arial" w:cs="Arial"/>
        </w:rPr>
        <w:t xml:space="preserve">As of July 1, </w:t>
      </w:r>
      <w:r w:rsidRPr="00E039B2">
        <w:rPr>
          <w:rFonts w:ascii="Arial" w:eastAsia="Times New Roman" w:hAnsi="Arial" w:cs="Arial"/>
          <w:highlight w:val="yellow"/>
        </w:rPr>
        <w:t>2019</w:t>
      </w:r>
      <w:r w:rsidRPr="00E039B2">
        <w:rPr>
          <w:rFonts w:ascii="Arial" w:eastAsia="Times New Roman" w:hAnsi="Arial" w:cs="Arial"/>
        </w:rPr>
        <w:t xml:space="preserve">, the fund balances of the governmental funds as previously reported was restated as follows: </w:t>
      </w:r>
      <w:r w:rsidRPr="00E039B2">
        <w:rPr>
          <w:rFonts w:ascii="Arial" w:eastAsia="Times New Roman" w:hAnsi="Arial" w:cs="Arial"/>
          <w:b/>
          <w:bCs/>
          <w:i/>
          <w:iCs/>
          <w:color w:val="0000FF"/>
        </w:rPr>
        <w:t>See GASB 62 paragraphs 62 and 89 for additional guidance. Modify as necessary.]</w:t>
      </w:r>
    </w:p>
    <w:bookmarkStart w:id="878" w:name="_MON_1660537512"/>
    <w:bookmarkEnd w:id="878"/>
    <w:p w14:paraId="08B1F05C" w14:textId="4216E67C" w:rsidR="001040C8" w:rsidRPr="00E039B2" w:rsidRDefault="00B93876" w:rsidP="004A0566">
      <w:pPr>
        <w:spacing w:after="240" w:line="240" w:lineRule="auto"/>
        <w:ind w:left="720"/>
        <w:jc w:val="both"/>
        <w:rPr>
          <w:rFonts w:ascii="Arial" w:eastAsia="Times New Roman" w:hAnsi="Arial" w:cs="Arial"/>
          <w:b/>
          <w:bCs/>
          <w:i/>
          <w:iCs/>
          <w:color w:val="0000FF"/>
        </w:rPr>
      </w:pPr>
      <w:r w:rsidRPr="00E039B2">
        <w:rPr>
          <w:rFonts w:ascii="Times New Roman" w:eastAsia="Times New Roman" w:hAnsi="Times New Roman" w:cs="Times New Roman"/>
        </w:rPr>
        <w:object w:dxaOrig="10544" w:dyaOrig="3101" w14:anchorId="7797BF16">
          <v:shape id="_x0000_i1061" type="#_x0000_t75" style="width:445.5pt;height:140.25pt" o:ole="">
            <v:imagedata r:id="rId85" o:title=""/>
          </v:shape>
          <o:OLEObject Type="Embed" ProgID="Excel.Sheet.12" ShapeID="_x0000_i1061" DrawAspect="Content" ObjectID="_1661757490" r:id="rId86"/>
        </w:object>
      </w:r>
    </w:p>
    <w:p w14:paraId="2D5E9F1D" w14:textId="4A7193FB" w:rsidR="001040C8" w:rsidRPr="00E039B2" w:rsidRDefault="001040C8" w:rsidP="001040C8">
      <w:pPr>
        <w:spacing w:after="240" w:line="240" w:lineRule="auto"/>
        <w:ind w:left="1440"/>
        <w:jc w:val="both"/>
        <w:rPr>
          <w:rFonts w:ascii="Arial" w:eastAsia="Times New Roman" w:hAnsi="Arial" w:cs="Arial"/>
          <w:b/>
          <w:bCs/>
          <w:i/>
          <w:iCs/>
        </w:rPr>
      </w:pPr>
      <w:r w:rsidRPr="00E039B2">
        <w:rPr>
          <w:rFonts w:ascii="Arial" w:eastAsia="Times New Roman" w:hAnsi="Arial" w:cs="Arial"/>
        </w:rPr>
        <w:t xml:space="preserve">As of July 1, </w:t>
      </w:r>
      <w:r w:rsidRPr="00E039B2">
        <w:rPr>
          <w:rFonts w:ascii="Arial" w:eastAsia="Times New Roman" w:hAnsi="Arial" w:cs="Arial"/>
          <w:highlight w:val="yellow"/>
        </w:rPr>
        <w:t>2019</w:t>
      </w:r>
      <w:r w:rsidRPr="00E039B2">
        <w:rPr>
          <w:rFonts w:ascii="Arial" w:eastAsia="Times New Roman" w:hAnsi="Arial" w:cs="Arial"/>
        </w:rPr>
        <w:t>, the net position of the proprietary funds as previously reported was restated as follows:</w:t>
      </w:r>
    </w:p>
    <w:bookmarkStart w:id="879" w:name="_MON_1244291855"/>
    <w:bookmarkStart w:id="880" w:name="_MON_1604749737"/>
    <w:bookmarkStart w:id="881" w:name="_MON_1119092012"/>
    <w:bookmarkEnd w:id="879"/>
    <w:bookmarkEnd w:id="880"/>
    <w:bookmarkEnd w:id="881"/>
    <w:bookmarkStart w:id="882" w:name="_MON_1121239096"/>
    <w:bookmarkEnd w:id="882"/>
    <w:p w14:paraId="220ADD06" w14:textId="70770F29" w:rsidR="001040C8" w:rsidRPr="00E039B2" w:rsidRDefault="003C24F6" w:rsidP="003C24F6">
      <w:pPr>
        <w:spacing w:after="240" w:line="240" w:lineRule="auto"/>
        <w:ind w:left="720" w:firstLine="432"/>
        <w:rPr>
          <w:rFonts w:ascii="Arial" w:eastAsia="Times New Roman" w:hAnsi="Arial" w:cs="Arial"/>
          <w:b/>
          <w:bCs/>
          <w:i/>
          <w:iCs/>
          <w:strike/>
          <w:color w:val="0000FF"/>
        </w:rPr>
      </w:pPr>
      <w:r w:rsidRPr="00E039B2">
        <w:rPr>
          <w:rFonts w:ascii="Arial" w:eastAsia="Times New Roman" w:hAnsi="Arial" w:cs="Arial"/>
        </w:rPr>
        <w:object w:dxaOrig="10688" w:dyaOrig="2724" w14:anchorId="138A9AD1">
          <v:shape id="_x0000_i1125" type="#_x0000_t75" style="width:414.75pt;height:119.25pt" o:ole="">
            <v:imagedata r:id="rId87" o:title=""/>
          </v:shape>
          <o:OLEObject Type="Embed" ProgID="Excel.Sheet.12" ShapeID="_x0000_i1125" DrawAspect="Content" ObjectID="_1661757491" r:id="rId88"/>
        </w:object>
      </w:r>
    </w:p>
    <w:p w14:paraId="15CDFF95" w14:textId="68E7BECD" w:rsidR="001040C8" w:rsidRPr="00E039B2" w:rsidRDefault="001040C8" w:rsidP="001040C8">
      <w:pPr>
        <w:spacing w:after="240" w:line="240" w:lineRule="auto"/>
        <w:ind w:left="1440"/>
        <w:jc w:val="both"/>
        <w:rPr>
          <w:rFonts w:ascii="Arial" w:eastAsia="Times New Roman" w:hAnsi="Arial" w:cs="Arial"/>
          <w:b/>
          <w:bCs/>
          <w:i/>
          <w:iCs/>
        </w:rPr>
      </w:pPr>
      <w:r w:rsidRPr="00E039B2">
        <w:rPr>
          <w:rFonts w:ascii="Arial" w:eastAsia="Times New Roman" w:hAnsi="Arial" w:cs="Arial"/>
        </w:rPr>
        <w:t xml:space="preserve">As of July 1, </w:t>
      </w:r>
      <w:r w:rsidRPr="00E039B2">
        <w:rPr>
          <w:rFonts w:ascii="Arial" w:eastAsia="Times New Roman" w:hAnsi="Arial" w:cs="Arial"/>
          <w:highlight w:val="yellow"/>
        </w:rPr>
        <w:t>2019</w:t>
      </w:r>
      <w:r w:rsidRPr="00E039B2">
        <w:rPr>
          <w:rFonts w:ascii="Arial" w:eastAsia="Times New Roman" w:hAnsi="Arial" w:cs="Arial"/>
        </w:rPr>
        <w:t>, the net position of the fiduciary funds as previously reported was restated as follows:</w:t>
      </w:r>
    </w:p>
    <w:bookmarkStart w:id="883" w:name="_MON_1661756007"/>
    <w:bookmarkEnd w:id="883"/>
    <w:p w14:paraId="1AD2A6C9" w14:textId="507F0637" w:rsidR="001040C8" w:rsidRPr="00E039B2" w:rsidRDefault="003C24F6" w:rsidP="0043656F">
      <w:pPr>
        <w:spacing w:after="0" w:line="240" w:lineRule="auto"/>
        <w:ind w:left="720" w:firstLine="432"/>
        <w:jc w:val="center"/>
        <w:rPr>
          <w:rFonts w:ascii="Arial" w:eastAsia="Times New Roman" w:hAnsi="Arial" w:cs="Arial"/>
        </w:rPr>
      </w:pPr>
      <w:r w:rsidRPr="00E039B2">
        <w:rPr>
          <w:rFonts w:ascii="Arial" w:eastAsia="Times New Roman" w:hAnsi="Arial" w:cs="Arial"/>
        </w:rPr>
        <w:object w:dxaOrig="10911" w:dyaOrig="2724" w14:anchorId="47620616">
          <v:shape id="_x0000_i1139" type="#_x0000_t75" style="width:420pt;height:123.75pt" o:ole="">
            <v:imagedata r:id="rId89" o:title=""/>
          </v:shape>
          <o:OLEObject Type="Embed" ProgID="Excel.Sheet.12" ShapeID="_x0000_i1139" DrawAspect="Content" ObjectID="_1661757492" r:id="rId90"/>
        </w:object>
      </w:r>
    </w:p>
    <w:p w14:paraId="415474BC" w14:textId="77777777" w:rsidR="004A0566" w:rsidRPr="00E039B2" w:rsidRDefault="004A0566" w:rsidP="001040C8">
      <w:pPr>
        <w:spacing w:after="0" w:line="240" w:lineRule="auto"/>
        <w:ind w:left="432"/>
        <w:rPr>
          <w:rFonts w:ascii="Arial" w:eastAsia="Times New Roman" w:hAnsi="Arial" w:cs="Arial"/>
          <w:b/>
          <w:bCs/>
          <w:i/>
          <w:iCs/>
          <w:color w:val="0000FF"/>
        </w:rPr>
      </w:pPr>
    </w:p>
    <w:p w14:paraId="45CED726" w14:textId="600F3659" w:rsidR="001040C8" w:rsidRPr="00E039B2" w:rsidRDefault="001040C8" w:rsidP="004A0566">
      <w:pPr>
        <w:spacing w:after="0" w:line="240" w:lineRule="auto"/>
        <w:ind w:left="1440"/>
        <w:rPr>
          <w:rFonts w:ascii="Arial" w:eastAsia="Times New Roman" w:hAnsi="Arial" w:cs="Arial"/>
          <w:b/>
          <w:bCs/>
          <w:i/>
          <w:iCs/>
          <w:color w:val="0000FF"/>
        </w:rPr>
      </w:pPr>
      <w:r w:rsidRPr="00E039B2">
        <w:rPr>
          <w:rFonts w:ascii="Arial" w:eastAsia="Times New Roman" w:hAnsi="Arial" w:cs="Arial"/>
          <w:b/>
          <w:bCs/>
          <w:i/>
          <w:iCs/>
          <w:color w:val="0000FF"/>
        </w:rPr>
        <w:t>[Remove table for Fiduciary Funds/Proprietary Funds if not applicable. Modify as necessary.]</w:t>
      </w:r>
    </w:p>
    <w:p w14:paraId="27EBCE1B" w14:textId="77777777" w:rsidR="001040C8" w:rsidRPr="00E039B2" w:rsidRDefault="001040C8" w:rsidP="001040C8">
      <w:pPr>
        <w:tabs>
          <w:tab w:val="left" w:pos="1080"/>
        </w:tabs>
        <w:spacing w:before="480" w:after="240" w:line="240" w:lineRule="auto"/>
        <w:rPr>
          <w:rFonts w:ascii="Arial" w:eastAsia="Times New Roman" w:hAnsi="Arial" w:cs="Arial"/>
          <w:b/>
          <w:smallCaps/>
        </w:rPr>
      </w:pPr>
      <w:r w:rsidRPr="00E039B2">
        <w:rPr>
          <w:rFonts w:ascii="Arial" w:eastAsia="Times New Roman" w:hAnsi="Arial" w:cs="Arial"/>
          <w:b/>
          <w:smallCaps/>
        </w:rPr>
        <w:t>Note 20</w:t>
      </w:r>
      <w:r w:rsidRPr="00E039B2">
        <w:rPr>
          <w:rFonts w:ascii="Arial" w:eastAsia="Times New Roman" w:hAnsi="Arial" w:cs="Arial"/>
          <w:b/>
          <w:smallCaps/>
        </w:rPr>
        <w:tab/>
        <w:t>-</w:t>
      </w:r>
      <w:r w:rsidRPr="00E039B2">
        <w:rPr>
          <w:rFonts w:ascii="Arial" w:eastAsia="Times New Roman" w:hAnsi="Arial" w:cs="Arial"/>
          <w:b/>
          <w:smallCaps/>
        </w:rPr>
        <w:tab/>
        <w:t>Subsequent Event</w:t>
      </w:r>
      <w:r w:rsidRPr="00E039B2">
        <w:rPr>
          <w:rFonts w:ascii="Arial" w:eastAsia="Times New Roman" w:hAnsi="Arial" w:cs="Arial"/>
          <w:b/>
          <w:i/>
          <w:smallCaps/>
        </w:rPr>
        <w:t>(s)</w:t>
      </w:r>
    </w:p>
    <w:p w14:paraId="1C4EB056" w14:textId="3BBE330C" w:rsidR="001040C8" w:rsidRPr="00E039B2" w:rsidRDefault="001040C8" w:rsidP="001040C8">
      <w:pPr>
        <w:spacing w:after="240" w:line="240" w:lineRule="auto"/>
        <w:ind w:left="1440"/>
        <w:jc w:val="both"/>
        <w:rPr>
          <w:rFonts w:ascii="Arial" w:eastAsia="Times New Roman" w:hAnsi="Arial" w:cs="Arial"/>
          <w:b/>
          <w:i/>
          <w:color w:val="0000FF"/>
        </w:rPr>
      </w:pPr>
      <w:r w:rsidRPr="00E039B2">
        <w:rPr>
          <w:rFonts w:ascii="Arial" w:eastAsia="Times New Roman" w:hAnsi="Arial" w:cs="Arial"/>
          <w:b/>
          <w:i/>
          <w:color w:val="0000FF"/>
        </w:rPr>
        <w:t>[Describe significant events subsequent to year end through the report date. For example: debt issuance after fiscal year-end</w:t>
      </w:r>
      <w:r w:rsidR="00E039B2">
        <w:rPr>
          <w:rFonts w:ascii="Arial" w:eastAsia="Times New Roman" w:hAnsi="Arial" w:cs="Arial"/>
          <w:b/>
          <w:i/>
          <w:color w:val="0000FF"/>
        </w:rPr>
        <w:t xml:space="preserve">, </w:t>
      </w:r>
      <w:r w:rsidRPr="00E039B2">
        <w:rPr>
          <w:rFonts w:ascii="Arial" w:eastAsia="Times New Roman" w:hAnsi="Arial" w:cs="Arial"/>
          <w:b/>
          <w:i/>
          <w:color w:val="0000FF"/>
        </w:rPr>
        <w:t>a natural disaster such as a hurricane</w:t>
      </w:r>
      <w:r w:rsidR="00E039B2">
        <w:rPr>
          <w:rFonts w:ascii="Arial" w:eastAsia="Times New Roman" w:hAnsi="Arial" w:cs="Arial"/>
          <w:b/>
          <w:i/>
          <w:color w:val="0000FF"/>
        </w:rPr>
        <w:t>, or the coronavirus pandemic</w:t>
      </w:r>
      <w:r w:rsidRPr="00E039B2">
        <w:rPr>
          <w:rFonts w:ascii="Arial" w:eastAsia="Times New Roman" w:hAnsi="Arial" w:cs="Arial"/>
          <w:b/>
          <w:i/>
          <w:color w:val="0000FF"/>
          <w:highlight w:val="yellow"/>
        </w:rPr>
        <w:t>. See GASB 56 paragraphs 8 through 15 for additional guidance</w:t>
      </w:r>
      <w:r w:rsidRPr="00E039B2">
        <w:rPr>
          <w:rFonts w:ascii="Arial" w:eastAsia="Times New Roman" w:hAnsi="Arial" w:cs="Arial"/>
          <w:b/>
          <w:i/>
          <w:color w:val="0000FF"/>
        </w:rPr>
        <w:t>]</w:t>
      </w:r>
    </w:p>
    <w:p w14:paraId="6FC77E93" w14:textId="6B956EF8" w:rsidR="00DB4AE8" w:rsidRPr="00E039B2" w:rsidRDefault="001040C8" w:rsidP="00FC66C1">
      <w:pPr>
        <w:numPr>
          <w:ilvl w:val="0"/>
          <w:numId w:val="32"/>
        </w:numPr>
        <w:autoSpaceDE w:val="0"/>
        <w:autoSpaceDN w:val="0"/>
        <w:adjustRightInd w:val="0"/>
        <w:spacing w:after="0" w:line="240" w:lineRule="auto"/>
        <w:ind w:left="1915" w:hanging="475"/>
        <w:contextualSpacing/>
        <w:jc w:val="both"/>
        <w:rPr>
          <w:rFonts w:ascii="Arial" w:eastAsia="Times New Roman" w:hAnsi="Arial" w:cs="Arial"/>
          <w:b/>
          <w:i/>
          <w:color w:val="0000FF"/>
        </w:rPr>
      </w:pPr>
      <w:r w:rsidRPr="00E039B2">
        <w:rPr>
          <w:rFonts w:ascii="Arial" w:hAnsi="Arial" w:cs="Arial"/>
          <w:b/>
          <w:i/>
          <w:color w:val="0000FF"/>
        </w:rPr>
        <w:t>[</w:t>
      </w:r>
      <w:r w:rsidRPr="00E039B2">
        <w:rPr>
          <w:rFonts w:ascii="Arial" w:eastAsia="Times New Roman" w:hAnsi="Arial" w:cs="Arial"/>
          <w:b/>
          <w:i/>
          <w:color w:val="0000FF"/>
        </w:rPr>
        <w:t>Add disclosures as necessary]</w:t>
      </w:r>
    </w:p>
    <w:sectPr w:rsidR="00DB4AE8" w:rsidRPr="00E039B2" w:rsidSect="00A2035F">
      <w:headerReference w:type="even" r:id="rId91"/>
      <w:headerReference w:type="default" r:id="rId92"/>
      <w:footerReference w:type="even" r:id="rId93"/>
      <w:footerReference w:type="default" r:id="rId94"/>
      <w:headerReference w:type="first" r:id="rId95"/>
      <w:footerReference w:type="first" r:id="rId96"/>
      <w:footnotePr>
        <w:numRestart w:val="eachSect"/>
      </w:footnotePr>
      <w:pgSz w:w="12240" w:h="15840" w:code="1"/>
      <w:pgMar w:top="1440" w:right="1584" w:bottom="1440" w:left="1584" w:header="864"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DE109" w14:textId="77777777" w:rsidR="00334BAB" w:rsidRDefault="00334BAB" w:rsidP="00760778">
      <w:pPr>
        <w:spacing w:after="0" w:line="240" w:lineRule="auto"/>
      </w:pPr>
      <w:r>
        <w:separator/>
      </w:r>
    </w:p>
  </w:endnote>
  <w:endnote w:type="continuationSeparator" w:id="0">
    <w:p w14:paraId="6F832262" w14:textId="77777777" w:rsidR="00334BAB" w:rsidRDefault="00334BAB" w:rsidP="0076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983DD" w14:textId="77777777" w:rsidR="00AA200E" w:rsidRDefault="00AA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143B" w14:textId="3CEEA0E6" w:rsidR="00613733" w:rsidRPr="00662DEA" w:rsidRDefault="00613733" w:rsidP="0073251F">
    <w:pPr>
      <w:pStyle w:val="BodyText2"/>
      <w:ind w:left="0"/>
      <w:jc w:val="center"/>
      <w:rPr>
        <w:rFonts w:ascii="Arial" w:hAnsi="Arial" w:cs="Arial"/>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DAFA2" w14:textId="77777777" w:rsidR="00AA200E" w:rsidRDefault="00AA2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22FFA" w14:textId="77777777" w:rsidR="00334BAB" w:rsidRDefault="00334BAB" w:rsidP="00760778">
      <w:pPr>
        <w:spacing w:after="0" w:line="240" w:lineRule="auto"/>
      </w:pPr>
      <w:r>
        <w:separator/>
      </w:r>
    </w:p>
  </w:footnote>
  <w:footnote w:type="continuationSeparator" w:id="0">
    <w:p w14:paraId="3918A7E9" w14:textId="77777777" w:rsidR="00334BAB" w:rsidRDefault="00334BAB" w:rsidP="00760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1437" w14:textId="08CC8B56" w:rsidR="00613733" w:rsidRPr="002E1DCC" w:rsidRDefault="00A2035F" w:rsidP="0073251F">
    <w:pPr>
      <w:pStyle w:val="Header"/>
      <w:ind w:left="-1584"/>
    </w:pPr>
    <w:r w:rsidRPr="00841121">
      <w:rPr>
        <w:rFonts w:ascii="Univers (W1)" w:eastAsia="Times New Roman" w:hAnsi="Univers (W1)" w:cs="Times New Roman"/>
        <w:noProof/>
        <w:sz w:val="20"/>
        <w:szCs w:val="20"/>
      </w:rPr>
      <mc:AlternateContent>
        <mc:Choice Requires="wps">
          <w:drawing>
            <wp:anchor distT="0" distB="0" distL="114300" distR="114300" simplePos="0" relativeHeight="251717632" behindDoc="0" locked="0" layoutInCell="1" allowOverlap="1" wp14:anchorId="2A0A1485" wp14:editId="59936495">
              <wp:simplePos x="0" y="0"/>
              <wp:positionH relativeFrom="page">
                <wp:posOffset>-32385</wp:posOffset>
              </wp:positionH>
              <wp:positionV relativeFrom="page">
                <wp:posOffset>328930</wp:posOffset>
              </wp:positionV>
              <wp:extent cx="7863840" cy="338328"/>
              <wp:effectExtent l="0" t="0" r="22860" b="24130"/>
              <wp:wrapNone/>
              <wp:docPr id="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3EBAF080" w14:textId="77777777" w:rsidR="00A2035F" w:rsidRPr="00A0042E" w:rsidRDefault="00A2035F" w:rsidP="00A2035F">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A1485" id="_x0000_t202" coordsize="21600,21600" o:spt="202" path="m,l,21600r21600,l21600,xe">
              <v:stroke joinstyle="miter"/>
              <v:path gradientshapeok="t" o:connecttype="rect"/>
            </v:shapetype>
            <v:shape id="Text Box 121" o:spid="_x0000_s1026" type="#_x0000_t202" style="position:absolute;left:0;text-align:left;margin-left:-2.55pt;margin-top:25.9pt;width:619.2pt;height:26.6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" fillcolor="#0f243e">
              <v:textbox>
                <w:txbxContent>
                  <w:p w14:paraId="3EBAF080" w14:textId="77777777" w:rsidR="00A2035F" w:rsidRPr="00A0042E" w:rsidRDefault="00A2035F" w:rsidP="00A2035F">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999FD" w14:textId="1DAD376C" w:rsidR="00A2035F" w:rsidRDefault="00A2035F">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715584" behindDoc="0" locked="0" layoutInCell="1" allowOverlap="1" wp14:anchorId="1933F218" wp14:editId="67E33FAA">
              <wp:simplePos x="0" y="0"/>
              <wp:positionH relativeFrom="page">
                <wp:posOffset>-70485</wp:posOffset>
              </wp:positionH>
              <wp:positionV relativeFrom="page">
                <wp:posOffset>365760</wp:posOffset>
              </wp:positionV>
              <wp:extent cx="7863840" cy="338328"/>
              <wp:effectExtent l="0" t="0" r="22860" b="24130"/>
              <wp:wrapNone/>
              <wp:docPr id="4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3FCBB3EA" w14:textId="77777777" w:rsidR="00A2035F" w:rsidRPr="00A0042E" w:rsidRDefault="00A2035F" w:rsidP="00A2035F">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3F218" id="_x0000_t202" coordsize="21600,21600" o:spt="202" path="m,l,21600r21600,l21600,xe">
              <v:stroke joinstyle="miter"/>
              <v:path gradientshapeok="t" o:connecttype="rect"/>
            </v:shapetype>
            <v:shape id="_x0000_s1027" type="#_x0000_t202" style="position:absolute;margin-left:-5.55pt;margin-top:28.8pt;width:619.2pt;height:2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" fillcolor="#0f243e">
              <v:textbox>
                <w:txbxContent>
                  <w:p w14:paraId="3FCBB3EA" w14:textId="77777777" w:rsidR="00A2035F" w:rsidRPr="00A0042E" w:rsidRDefault="00A2035F" w:rsidP="00A2035F">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9C82B" w14:textId="77777777" w:rsidR="00AA200E" w:rsidRDefault="00AA2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5A61C3"/>
    <w:multiLevelType w:val="hybridMultilevel"/>
    <w:tmpl w:val="6E3ED22C"/>
    <w:lvl w:ilvl="0" w:tplc="6F46581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4"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B77B7E"/>
    <w:multiLevelType w:val="hybridMultilevel"/>
    <w:tmpl w:val="D436A938"/>
    <w:lvl w:ilvl="0" w:tplc="5B66AC96">
      <w:start w:val="1"/>
      <w:numFmt w:val="upperLetter"/>
      <w:lvlText w:val="%1."/>
      <w:lvlJc w:val="left"/>
      <w:pPr>
        <w:ind w:left="1920" w:hanging="480"/>
      </w:pPr>
      <w:rPr>
        <w:rFonts w:hint="default"/>
        <w:b/>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F676D"/>
    <w:multiLevelType w:val="hybridMultilevel"/>
    <w:tmpl w:val="F88EE70A"/>
    <w:lvl w:ilvl="0" w:tplc="F6BE5AF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6BA089A"/>
    <w:multiLevelType w:val="hybridMultilevel"/>
    <w:tmpl w:val="E2F2E926"/>
    <w:lvl w:ilvl="0" w:tplc="65A252F4">
      <w:start w:val="1"/>
      <w:numFmt w:val="upperLetter"/>
      <w:lvlText w:val="%1."/>
      <w:lvlJc w:val="left"/>
      <w:pPr>
        <w:ind w:left="1572" w:hanging="360"/>
      </w:pPr>
      <w:rPr>
        <w:rFonts w:hint="default"/>
      </w:rPr>
    </w:lvl>
    <w:lvl w:ilvl="1" w:tplc="780866B6">
      <w:start w:val="1"/>
      <w:numFmt w:val="lowerLetter"/>
      <w:lvlText w:val="%2."/>
      <w:lvlJc w:val="left"/>
      <w:pPr>
        <w:ind w:left="2292" w:hanging="360"/>
      </w:pPr>
      <w:rPr>
        <w:rFonts w:hint="default"/>
      </w:r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9"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53ABA"/>
    <w:multiLevelType w:val="hybridMultilevel"/>
    <w:tmpl w:val="550AF6F4"/>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EB23A79"/>
    <w:multiLevelType w:val="hybridMultilevel"/>
    <w:tmpl w:val="F6329FEA"/>
    <w:lvl w:ilvl="0" w:tplc="7FFED7DA">
      <w:start w:val="1"/>
      <w:numFmt w:val="upperLetter"/>
      <w:lvlText w:val="%1."/>
      <w:lvlJc w:val="left"/>
      <w:pPr>
        <w:ind w:left="1920" w:hanging="480"/>
      </w:pPr>
      <w:rPr>
        <w:rFonts w:hint="default"/>
        <w:b/>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43A28"/>
    <w:multiLevelType w:val="hybridMultilevel"/>
    <w:tmpl w:val="A0F42950"/>
    <w:lvl w:ilvl="0" w:tplc="CEFE65A4">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2F300836"/>
    <w:multiLevelType w:val="hybridMultilevel"/>
    <w:tmpl w:val="C234E5C0"/>
    <w:lvl w:ilvl="0" w:tplc="A8881104">
      <w:start w:val="1"/>
      <w:numFmt w:val="upperLetter"/>
      <w:lvlText w:val="%1."/>
      <w:lvlJc w:val="left"/>
      <w:pPr>
        <w:ind w:left="1800" w:hanging="360"/>
      </w:pPr>
      <w:rPr>
        <w:rFonts w:hint="default"/>
        <w:b/>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F5D4F7E"/>
    <w:multiLevelType w:val="hybridMultilevel"/>
    <w:tmpl w:val="FF225188"/>
    <w:lvl w:ilvl="0" w:tplc="621E7C62">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57D2FAA"/>
    <w:multiLevelType w:val="hybridMultilevel"/>
    <w:tmpl w:val="6E3ED22C"/>
    <w:lvl w:ilvl="0" w:tplc="6F46581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25" w15:restartNumberingAfterBreak="0">
    <w:nsid w:val="50D11FFD"/>
    <w:multiLevelType w:val="hybridMultilevel"/>
    <w:tmpl w:val="C5747E58"/>
    <w:lvl w:ilvl="0" w:tplc="652E10A4">
      <w:start w:val="1"/>
      <w:numFmt w:val="decimal"/>
      <w:lvlText w:val="%1."/>
      <w:lvlJc w:val="left"/>
      <w:pPr>
        <w:ind w:left="2052" w:hanging="360"/>
      </w:pPr>
      <w:rPr>
        <w:rFonts w:hint="default"/>
      </w:rPr>
    </w:lvl>
    <w:lvl w:ilvl="1" w:tplc="04090019" w:tentative="1">
      <w:start w:val="1"/>
      <w:numFmt w:val="lowerLetter"/>
      <w:lvlText w:val="%2."/>
      <w:lvlJc w:val="left"/>
      <w:pPr>
        <w:ind w:left="2772" w:hanging="360"/>
      </w:pPr>
    </w:lvl>
    <w:lvl w:ilvl="2" w:tplc="0409001B" w:tentative="1">
      <w:start w:val="1"/>
      <w:numFmt w:val="lowerRoman"/>
      <w:lvlText w:val="%3."/>
      <w:lvlJc w:val="right"/>
      <w:pPr>
        <w:ind w:left="3492" w:hanging="180"/>
      </w:pPr>
    </w:lvl>
    <w:lvl w:ilvl="3" w:tplc="0409000F" w:tentative="1">
      <w:start w:val="1"/>
      <w:numFmt w:val="decimal"/>
      <w:lvlText w:val="%4."/>
      <w:lvlJc w:val="left"/>
      <w:pPr>
        <w:ind w:left="4212" w:hanging="360"/>
      </w:pPr>
    </w:lvl>
    <w:lvl w:ilvl="4" w:tplc="04090019" w:tentative="1">
      <w:start w:val="1"/>
      <w:numFmt w:val="lowerLetter"/>
      <w:lvlText w:val="%5."/>
      <w:lvlJc w:val="left"/>
      <w:pPr>
        <w:ind w:left="4932" w:hanging="360"/>
      </w:pPr>
    </w:lvl>
    <w:lvl w:ilvl="5" w:tplc="0409001B" w:tentative="1">
      <w:start w:val="1"/>
      <w:numFmt w:val="lowerRoman"/>
      <w:lvlText w:val="%6."/>
      <w:lvlJc w:val="right"/>
      <w:pPr>
        <w:ind w:left="5652" w:hanging="180"/>
      </w:pPr>
    </w:lvl>
    <w:lvl w:ilvl="6" w:tplc="0409000F" w:tentative="1">
      <w:start w:val="1"/>
      <w:numFmt w:val="decimal"/>
      <w:lvlText w:val="%7."/>
      <w:lvlJc w:val="left"/>
      <w:pPr>
        <w:ind w:left="6372" w:hanging="360"/>
      </w:pPr>
    </w:lvl>
    <w:lvl w:ilvl="7" w:tplc="04090019" w:tentative="1">
      <w:start w:val="1"/>
      <w:numFmt w:val="lowerLetter"/>
      <w:lvlText w:val="%8."/>
      <w:lvlJc w:val="left"/>
      <w:pPr>
        <w:ind w:left="7092" w:hanging="360"/>
      </w:pPr>
    </w:lvl>
    <w:lvl w:ilvl="8" w:tplc="0409001B" w:tentative="1">
      <w:start w:val="1"/>
      <w:numFmt w:val="lowerRoman"/>
      <w:lvlText w:val="%9."/>
      <w:lvlJc w:val="right"/>
      <w:pPr>
        <w:ind w:left="7812" w:hanging="180"/>
      </w:pPr>
    </w:lvl>
  </w:abstractNum>
  <w:abstractNum w:abstractNumId="26"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27"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2187D"/>
    <w:multiLevelType w:val="hybridMultilevel"/>
    <w:tmpl w:val="0DFAAC58"/>
    <w:lvl w:ilvl="0" w:tplc="1864256E">
      <w:start w:val="1"/>
      <w:numFmt w:val="decimal"/>
      <w:lvlText w:val="%1."/>
      <w:lvlJc w:val="left"/>
      <w:pPr>
        <w:ind w:left="4524" w:hanging="360"/>
      </w:pPr>
      <w:rPr>
        <w:rFonts w:hint="default"/>
        <w:b/>
      </w:rPr>
    </w:lvl>
    <w:lvl w:ilvl="1" w:tplc="04090019" w:tentative="1">
      <w:start w:val="1"/>
      <w:numFmt w:val="lowerLetter"/>
      <w:lvlText w:val="%2."/>
      <w:lvlJc w:val="left"/>
      <w:pPr>
        <w:ind w:left="5244" w:hanging="360"/>
      </w:pPr>
    </w:lvl>
    <w:lvl w:ilvl="2" w:tplc="0409001B" w:tentative="1">
      <w:start w:val="1"/>
      <w:numFmt w:val="lowerRoman"/>
      <w:lvlText w:val="%3."/>
      <w:lvlJc w:val="right"/>
      <w:pPr>
        <w:ind w:left="5964" w:hanging="180"/>
      </w:pPr>
    </w:lvl>
    <w:lvl w:ilvl="3" w:tplc="0409000F" w:tentative="1">
      <w:start w:val="1"/>
      <w:numFmt w:val="decimal"/>
      <w:lvlText w:val="%4."/>
      <w:lvlJc w:val="left"/>
      <w:pPr>
        <w:ind w:left="6684" w:hanging="360"/>
      </w:pPr>
    </w:lvl>
    <w:lvl w:ilvl="4" w:tplc="04090019" w:tentative="1">
      <w:start w:val="1"/>
      <w:numFmt w:val="lowerLetter"/>
      <w:lvlText w:val="%5."/>
      <w:lvlJc w:val="left"/>
      <w:pPr>
        <w:ind w:left="7404" w:hanging="360"/>
      </w:pPr>
    </w:lvl>
    <w:lvl w:ilvl="5" w:tplc="0409001B" w:tentative="1">
      <w:start w:val="1"/>
      <w:numFmt w:val="lowerRoman"/>
      <w:lvlText w:val="%6."/>
      <w:lvlJc w:val="right"/>
      <w:pPr>
        <w:ind w:left="8124" w:hanging="180"/>
      </w:pPr>
    </w:lvl>
    <w:lvl w:ilvl="6" w:tplc="0409000F" w:tentative="1">
      <w:start w:val="1"/>
      <w:numFmt w:val="decimal"/>
      <w:lvlText w:val="%7."/>
      <w:lvlJc w:val="left"/>
      <w:pPr>
        <w:ind w:left="8844" w:hanging="360"/>
      </w:pPr>
    </w:lvl>
    <w:lvl w:ilvl="7" w:tplc="04090019" w:tentative="1">
      <w:start w:val="1"/>
      <w:numFmt w:val="lowerLetter"/>
      <w:lvlText w:val="%8."/>
      <w:lvlJc w:val="left"/>
      <w:pPr>
        <w:ind w:left="9564" w:hanging="360"/>
      </w:pPr>
    </w:lvl>
    <w:lvl w:ilvl="8" w:tplc="0409001B" w:tentative="1">
      <w:start w:val="1"/>
      <w:numFmt w:val="lowerRoman"/>
      <w:lvlText w:val="%9."/>
      <w:lvlJc w:val="right"/>
      <w:pPr>
        <w:ind w:left="10284" w:hanging="180"/>
      </w:pPr>
    </w:lvl>
  </w:abstractNum>
  <w:abstractNum w:abstractNumId="32" w15:restartNumberingAfterBreak="0">
    <w:nsid w:val="6FE3391E"/>
    <w:multiLevelType w:val="hybridMultilevel"/>
    <w:tmpl w:val="F78EC532"/>
    <w:lvl w:ilvl="0" w:tplc="2EF4BAFC">
      <w:start w:val="2"/>
      <w:numFmt w:val="upperLetter"/>
      <w:lvlText w:val="%1."/>
      <w:lvlJc w:val="left"/>
      <w:pPr>
        <w:ind w:left="189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9981098"/>
    <w:multiLevelType w:val="hybridMultilevel"/>
    <w:tmpl w:val="04F6D26E"/>
    <w:lvl w:ilvl="0" w:tplc="ABBCD41C">
      <w:start w:val="1"/>
      <w:numFmt w:val="decimal"/>
      <w:lvlText w:val="%1."/>
      <w:lvlJc w:val="left"/>
      <w:pPr>
        <w:ind w:left="2275" w:hanging="360"/>
      </w:pPr>
      <w:rPr>
        <w:rFonts w:hint="default"/>
        <w:b/>
        <w:i w:val="0"/>
        <w:u w:val="none"/>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34"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E0264B"/>
    <w:multiLevelType w:val="hybridMultilevel"/>
    <w:tmpl w:val="8A66DE42"/>
    <w:lvl w:ilvl="0" w:tplc="793C91E8">
      <w:start w:val="1"/>
      <w:numFmt w:val="decimal"/>
      <w:lvlText w:val="%1."/>
      <w:lvlJc w:val="left"/>
      <w:pPr>
        <w:tabs>
          <w:tab w:val="num" w:pos="2304"/>
        </w:tabs>
        <w:ind w:left="1800" w:firstLine="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0"/>
  </w:num>
  <w:num w:numId="2">
    <w:abstractNumId w:val="9"/>
  </w:num>
  <w:num w:numId="3">
    <w:abstractNumId w:val="14"/>
  </w:num>
  <w:num w:numId="4">
    <w:abstractNumId w:val="11"/>
  </w:num>
  <w:num w:numId="5">
    <w:abstractNumId w:val="35"/>
  </w:num>
  <w:num w:numId="6">
    <w:abstractNumId w:val="24"/>
  </w:num>
  <w:num w:numId="7">
    <w:abstractNumId w:val="34"/>
  </w:num>
  <w:num w:numId="8">
    <w:abstractNumId w:val="26"/>
  </w:num>
  <w:num w:numId="9">
    <w:abstractNumId w:val="0"/>
  </w:num>
  <w:num w:numId="10">
    <w:abstractNumId w:val="21"/>
  </w:num>
  <w:num w:numId="11">
    <w:abstractNumId w:val="28"/>
  </w:num>
  <w:num w:numId="12">
    <w:abstractNumId w:val="6"/>
  </w:num>
  <w:num w:numId="13">
    <w:abstractNumId w:val="27"/>
  </w:num>
  <w:num w:numId="14">
    <w:abstractNumId w:val="23"/>
  </w:num>
  <w:num w:numId="15">
    <w:abstractNumId w:val="10"/>
  </w:num>
  <w:num w:numId="16">
    <w:abstractNumId w:val="31"/>
  </w:num>
  <w:num w:numId="17">
    <w:abstractNumId w:val="19"/>
  </w:num>
  <w:num w:numId="18">
    <w:abstractNumId w:val="12"/>
  </w:num>
  <w:num w:numId="19">
    <w:abstractNumId w:val="3"/>
  </w:num>
  <w:num w:numId="20">
    <w:abstractNumId w:val="22"/>
  </w:num>
  <w:num w:numId="21">
    <w:abstractNumId w:val="17"/>
  </w:num>
  <w:num w:numId="22">
    <w:abstractNumId w:val="16"/>
  </w:num>
  <w:num w:numId="23">
    <w:abstractNumId w:val="29"/>
  </w:num>
  <w:num w:numId="24">
    <w:abstractNumId w:val="4"/>
  </w:num>
  <w:num w:numId="25">
    <w:abstractNumId w:val="1"/>
  </w:num>
  <w:num w:numId="26">
    <w:abstractNumId w:val="7"/>
  </w:num>
  <w:num w:numId="27">
    <w:abstractNumId w:val="13"/>
  </w:num>
  <w:num w:numId="28">
    <w:abstractNumId w:val="5"/>
  </w:num>
  <w:num w:numId="29">
    <w:abstractNumId w:val="15"/>
  </w:num>
  <w:num w:numId="30">
    <w:abstractNumId w:val="20"/>
  </w:num>
  <w:num w:numId="31">
    <w:abstractNumId w:val="2"/>
  </w:num>
  <w:num w:numId="32">
    <w:abstractNumId w:val="18"/>
  </w:num>
  <w:num w:numId="33">
    <w:abstractNumId w:val="32"/>
  </w:num>
  <w:num w:numId="34">
    <w:abstractNumId w:val="33"/>
  </w:num>
  <w:num w:numId="35">
    <w:abstractNumId w:val="8"/>
  </w:num>
  <w:num w:numId="36">
    <w:abstractNumId w:val="2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778"/>
    <w:rsid w:val="00001BD5"/>
    <w:rsid w:val="000157D6"/>
    <w:rsid w:val="00020964"/>
    <w:rsid w:val="00022A70"/>
    <w:rsid w:val="00023F4A"/>
    <w:rsid w:val="00024C35"/>
    <w:rsid w:val="00037202"/>
    <w:rsid w:val="00037232"/>
    <w:rsid w:val="000416B2"/>
    <w:rsid w:val="0004668E"/>
    <w:rsid w:val="000603FF"/>
    <w:rsid w:val="0007423F"/>
    <w:rsid w:val="00074B4C"/>
    <w:rsid w:val="000819C8"/>
    <w:rsid w:val="000B0947"/>
    <w:rsid w:val="000C1ED2"/>
    <w:rsid w:val="000C35DA"/>
    <w:rsid w:val="000D06EC"/>
    <w:rsid w:val="000D344E"/>
    <w:rsid w:val="000D6E10"/>
    <w:rsid w:val="000D7BCE"/>
    <w:rsid w:val="000E07BA"/>
    <w:rsid w:val="000E6513"/>
    <w:rsid w:val="000E7677"/>
    <w:rsid w:val="000F12E0"/>
    <w:rsid w:val="000F3446"/>
    <w:rsid w:val="001040C8"/>
    <w:rsid w:val="0010705B"/>
    <w:rsid w:val="00110378"/>
    <w:rsid w:val="0011722D"/>
    <w:rsid w:val="00125225"/>
    <w:rsid w:val="00127C4F"/>
    <w:rsid w:val="00141583"/>
    <w:rsid w:val="00143ADB"/>
    <w:rsid w:val="00143F77"/>
    <w:rsid w:val="00144656"/>
    <w:rsid w:val="00154022"/>
    <w:rsid w:val="00157F6C"/>
    <w:rsid w:val="00161F8D"/>
    <w:rsid w:val="00162089"/>
    <w:rsid w:val="00162879"/>
    <w:rsid w:val="00170FC4"/>
    <w:rsid w:val="001749E4"/>
    <w:rsid w:val="00183466"/>
    <w:rsid w:val="001935C2"/>
    <w:rsid w:val="00193976"/>
    <w:rsid w:val="001A26B1"/>
    <w:rsid w:val="001A564B"/>
    <w:rsid w:val="001B0BED"/>
    <w:rsid w:val="001B1E82"/>
    <w:rsid w:val="001B47E1"/>
    <w:rsid w:val="001B7FE5"/>
    <w:rsid w:val="001C433C"/>
    <w:rsid w:val="001D3610"/>
    <w:rsid w:val="001D52BB"/>
    <w:rsid w:val="001D6A74"/>
    <w:rsid w:val="001D7C93"/>
    <w:rsid w:val="001D7FA9"/>
    <w:rsid w:val="001E365F"/>
    <w:rsid w:val="001F0A25"/>
    <w:rsid w:val="001F2102"/>
    <w:rsid w:val="001F7D9B"/>
    <w:rsid w:val="002045F1"/>
    <w:rsid w:val="00204A4B"/>
    <w:rsid w:val="002168F3"/>
    <w:rsid w:val="00223A46"/>
    <w:rsid w:val="00224BED"/>
    <w:rsid w:val="002324E3"/>
    <w:rsid w:val="00232EAE"/>
    <w:rsid w:val="00233AF0"/>
    <w:rsid w:val="00235DED"/>
    <w:rsid w:val="00242B52"/>
    <w:rsid w:val="002444CA"/>
    <w:rsid w:val="002603F9"/>
    <w:rsid w:val="00266013"/>
    <w:rsid w:val="0027030E"/>
    <w:rsid w:val="00272095"/>
    <w:rsid w:val="00274FD4"/>
    <w:rsid w:val="0028168E"/>
    <w:rsid w:val="00284B00"/>
    <w:rsid w:val="00285431"/>
    <w:rsid w:val="00285589"/>
    <w:rsid w:val="0028584F"/>
    <w:rsid w:val="002872E4"/>
    <w:rsid w:val="002A0C15"/>
    <w:rsid w:val="002A289D"/>
    <w:rsid w:val="002A29FE"/>
    <w:rsid w:val="002A73D2"/>
    <w:rsid w:val="002B23BB"/>
    <w:rsid w:val="002B4077"/>
    <w:rsid w:val="002C1BFD"/>
    <w:rsid w:val="002D2E2E"/>
    <w:rsid w:val="002E0504"/>
    <w:rsid w:val="002E0DF7"/>
    <w:rsid w:val="002E20CF"/>
    <w:rsid w:val="002E215E"/>
    <w:rsid w:val="002E3048"/>
    <w:rsid w:val="002F1DB4"/>
    <w:rsid w:val="00303A40"/>
    <w:rsid w:val="00307ABD"/>
    <w:rsid w:val="00320504"/>
    <w:rsid w:val="00321B0B"/>
    <w:rsid w:val="0032391F"/>
    <w:rsid w:val="003241C7"/>
    <w:rsid w:val="00324521"/>
    <w:rsid w:val="003274E5"/>
    <w:rsid w:val="00331325"/>
    <w:rsid w:val="003314E4"/>
    <w:rsid w:val="00332CE9"/>
    <w:rsid w:val="00334BAB"/>
    <w:rsid w:val="00343B65"/>
    <w:rsid w:val="0034506F"/>
    <w:rsid w:val="00352042"/>
    <w:rsid w:val="003532CE"/>
    <w:rsid w:val="00353F7F"/>
    <w:rsid w:val="00356FA0"/>
    <w:rsid w:val="00357F15"/>
    <w:rsid w:val="0036054E"/>
    <w:rsid w:val="00361132"/>
    <w:rsid w:val="0036303E"/>
    <w:rsid w:val="003837FA"/>
    <w:rsid w:val="00391B3F"/>
    <w:rsid w:val="00393855"/>
    <w:rsid w:val="00395214"/>
    <w:rsid w:val="00396AE8"/>
    <w:rsid w:val="003C24F6"/>
    <w:rsid w:val="003C51EA"/>
    <w:rsid w:val="003D1405"/>
    <w:rsid w:val="003D492A"/>
    <w:rsid w:val="003D6DF8"/>
    <w:rsid w:val="003E0C96"/>
    <w:rsid w:val="003E31C8"/>
    <w:rsid w:val="003F12E6"/>
    <w:rsid w:val="003F4138"/>
    <w:rsid w:val="00402FAE"/>
    <w:rsid w:val="00404D42"/>
    <w:rsid w:val="00406AFD"/>
    <w:rsid w:val="00411557"/>
    <w:rsid w:val="004115D1"/>
    <w:rsid w:val="0041233C"/>
    <w:rsid w:val="004156B1"/>
    <w:rsid w:val="004236DD"/>
    <w:rsid w:val="00431915"/>
    <w:rsid w:val="00434587"/>
    <w:rsid w:val="00435E14"/>
    <w:rsid w:val="0043656F"/>
    <w:rsid w:val="00436727"/>
    <w:rsid w:val="0044142C"/>
    <w:rsid w:val="004426DF"/>
    <w:rsid w:val="004478F1"/>
    <w:rsid w:val="004516D3"/>
    <w:rsid w:val="0045307C"/>
    <w:rsid w:val="00461745"/>
    <w:rsid w:val="00462156"/>
    <w:rsid w:val="00462544"/>
    <w:rsid w:val="004658D0"/>
    <w:rsid w:val="00467D0D"/>
    <w:rsid w:val="00474E52"/>
    <w:rsid w:val="004773A0"/>
    <w:rsid w:val="00480416"/>
    <w:rsid w:val="00480608"/>
    <w:rsid w:val="00483131"/>
    <w:rsid w:val="004866BF"/>
    <w:rsid w:val="0049074C"/>
    <w:rsid w:val="004A04B7"/>
    <w:rsid w:val="004A0566"/>
    <w:rsid w:val="004A0CB9"/>
    <w:rsid w:val="004A1F2D"/>
    <w:rsid w:val="004A43F3"/>
    <w:rsid w:val="004A4E98"/>
    <w:rsid w:val="004A6CD1"/>
    <w:rsid w:val="004C1447"/>
    <w:rsid w:val="004D0235"/>
    <w:rsid w:val="004D4916"/>
    <w:rsid w:val="004D55F2"/>
    <w:rsid w:val="004E1596"/>
    <w:rsid w:val="004E3E88"/>
    <w:rsid w:val="004E6B5C"/>
    <w:rsid w:val="004E6D35"/>
    <w:rsid w:val="004F343A"/>
    <w:rsid w:val="004F3F6B"/>
    <w:rsid w:val="005009A6"/>
    <w:rsid w:val="005033A3"/>
    <w:rsid w:val="00510675"/>
    <w:rsid w:val="00513DA5"/>
    <w:rsid w:val="005160EA"/>
    <w:rsid w:val="00520649"/>
    <w:rsid w:val="00520C26"/>
    <w:rsid w:val="00522B95"/>
    <w:rsid w:val="00523DA9"/>
    <w:rsid w:val="00525411"/>
    <w:rsid w:val="0054052E"/>
    <w:rsid w:val="00540FA1"/>
    <w:rsid w:val="00551659"/>
    <w:rsid w:val="0055279E"/>
    <w:rsid w:val="00554EE8"/>
    <w:rsid w:val="005727AD"/>
    <w:rsid w:val="00572A2B"/>
    <w:rsid w:val="00574B3F"/>
    <w:rsid w:val="0057735F"/>
    <w:rsid w:val="005806A7"/>
    <w:rsid w:val="005840ED"/>
    <w:rsid w:val="00584AE0"/>
    <w:rsid w:val="00584C89"/>
    <w:rsid w:val="005853A7"/>
    <w:rsid w:val="005857B1"/>
    <w:rsid w:val="00585EE1"/>
    <w:rsid w:val="0058639D"/>
    <w:rsid w:val="0059392D"/>
    <w:rsid w:val="005A012F"/>
    <w:rsid w:val="005A08E4"/>
    <w:rsid w:val="005A25DC"/>
    <w:rsid w:val="005A4086"/>
    <w:rsid w:val="005B1925"/>
    <w:rsid w:val="005B4EC9"/>
    <w:rsid w:val="005B5EC4"/>
    <w:rsid w:val="005C5F42"/>
    <w:rsid w:val="005C610D"/>
    <w:rsid w:val="005C743F"/>
    <w:rsid w:val="005D100F"/>
    <w:rsid w:val="005D1ADB"/>
    <w:rsid w:val="005D572E"/>
    <w:rsid w:val="005E178E"/>
    <w:rsid w:val="005E6BDC"/>
    <w:rsid w:val="005F20E5"/>
    <w:rsid w:val="005F6690"/>
    <w:rsid w:val="00600179"/>
    <w:rsid w:val="00613733"/>
    <w:rsid w:val="00615A64"/>
    <w:rsid w:val="0061641B"/>
    <w:rsid w:val="006207D9"/>
    <w:rsid w:val="006216A5"/>
    <w:rsid w:val="0062429C"/>
    <w:rsid w:val="00624D4C"/>
    <w:rsid w:val="00625BC0"/>
    <w:rsid w:val="0063046E"/>
    <w:rsid w:val="00630D18"/>
    <w:rsid w:val="00640C8D"/>
    <w:rsid w:val="00642CEE"/>
    <w:rsid w:val="00652C8D"/>
    <w:rsid w:val="006534C8"/>
    <w:rsid w:val="00666F29"/>
    <w:rsid w:val="00671796"/>
    <w:rsid w:val="00672D71"/>
    <w:rsid w:val="006826DC"/>
    <w:rsid w:val="00691FDB"/>
    <w:rsid w:val="006927BA"/>
    <w:rsid w:val="0069280F"/>
    <w:rsid w:val="006955B7"/>
    <w:rsid w:val="00696CC6"/>
    <w:rsid w:val="006A3D01"/>
    <w:rsid w:val="006B133D"/>
    <w:rsid w:val="006B1540"/>
    <w:rsid w:val="006B4862"/>
    <w:rsid w:val="006B743F"/>
    <w:rsid w:val="006C2F75"/>
    <w:rsid w:val="006C3456"/>
    <w:rsid w:val="006D2011"/>
    <w:rsid w:val="006D37B8"/>
    <w:rsid w:val="006D66F3"/>
    <w:rsid w:val="006D67E4"/>
    <w:rsid w:val="006D7590"/>
    <w:rsid w:val="006E743C"/>
    <w:rsid w:val="006F0457"/>
    <w:rsid w:val="007006B9"/>
    <w:rsid w:val="00705248"/>
    <w:rsid w:val="00705455"/>
    <w:rsid w:val="00706E3D"/>
    <w:rsid w:val="0072349A"/>
    <w:rsid w:val="0072434C"/>
    <w:rsid w:val="00724B8D"/>
    <w:rsid w:val="0073251F"/>
    <w:rsid w:val="00734659"/>
    <w:rsid w:val="0074437B"/>
    <w:rsid w:val="00753BDC"/>
    <w:rsid w:val="00760778"/>
    <w:rsid w:val="007626FE"/>
    <w:rsid w:val="0076441A"/>
    <w:rsid w:val="007701EE"/>
    <w:rsid w:val="007716F5"/>
    <w:rsid w:val="0077567F"/>
    <w:rsid w:val="007A5D68"/>
    <w:rsid w:val="007A6550"/>
    <w:rsid w:val="007B4011"/>
    <w:rsid w:val="007B4A50"/>
    <w:rsid w:val="007B714C"/>
    <w:rsid w:val="007B742C"/>
    <w:rsid w:val="007D76E0"/>
    <w:rsid w:val="007F0025"/>
    <w:rsid w:val="007F12AF"/>
    <w:rsid w:val="00800AA2"/>
    <w:rsid w:val="008134D2"/>
    <w:rsid w:val="00815923"/>
    <w:rsid w:val="008201C1"/>
    <w:rsid w:val="00820D53"/>
    <w:rsid w:val="00822D3D"/>
    <w:rsid w:val="00823B43"/>
    <w:rsid w:val="00825BD5"/>
    <w:rsid w:val="00841121"/>
    <w:rsid w:val="00842F55"/>
    <w:rsid w:val="00843545"/>
    <w:rsid w:val="00853EE3"/>
    <w:rsid w:val="0085417E"/>
    <w:rsid w:val="00854D46"/>
    <w:rsid w:val="008610DC"/>
    <w:rsid w:val="00862AF6"/>
    <w:rsid w:val="00866EB6"/>
    <w:rsid w:val="00872C1D"/>
    <w:rsid w:val="00877325"/>
    <w:rsid w:val="00880BDE"/>
    <w:rsid w:val="008818F7"/>
    <w:rsid w:val="0088338A"/>
    <w:rsid w:val="0089132A"/>
    <w:rsid w:val="00894849"/>
    <w:rsid w:val="00896AC3"/>
    <w:rsid w:val="008A4AD3"/>
    <w:rsid w:val="008B4F17"/>
    <w:rsid w:val="008B6A3D"/>
    <w:rsid w:val="008C276F"/>
    <w:rsid w:val="008D19F7"/>
    <w:rsid w:val="008D480B"/>
    <w:rsid w:val="008D4A52"/>
    <w:rsid w:val="008D4DDA"/>
    <w:rsid w:val="008E2119"/>
    <w:rsid w:val="00905C1E"/>
    <w:rsid w:val="009060B4"/>
    <w:rsid w:val="0090764D"/>
    <w:rsid w:val="00910279"/>
    <w:rsid w:val="00914FDF"/>
    <w:rsid w:val="0091562F"/>
    <w:rsid w:val="0092105B"/>
    <w:rsid w:val="00936C31"/>
    <w:rsid w:val="0094248E"/>
    <w:rsid w:val="00943D56"/>
    <w:rsid w:val="00965BC6"/>
    <w:rsid w:val="009667B5"/>
    <w:rsid w:val="00966C79"/>
    <w:rsid w:val="009673C3"/>
    <w:rsid w:val="00967680"/>
    <w:rsid w:val="009724D4"/>
    <w:rsid w:val="009820A4"/>
    <w:rsid w:val="009868D8"/>
    <w:rsid w:val="00994BE0"/>
    <w:rsid w:val="009A0C05"/>
    <w:rsid w:val="009A13DA"/>
    <w:rsid w:val="009A1C88"/>
    <w:rsid w:val="009A1E56"/>
    <w:rsid w:val="009A2FD0"/>
    <w:rsid w:val="009B0524"/>
    <w:rsid w:val="009B5086"/>
    <w:rsid w:val="009B5FDB"/>
    <w:rsid w:val="009C31F7"/>
    <w:rsid w:val="009D0743"/>
    <w:rsid w:val="009D183F"/>
    <w:rsid w:val="009D2057"/>
    <w:rsid w:val="009D6422"/>
    <w:rsid w:val="009D74EE"/>
    <w:rsid w:val="009E1D06"/>
    <w:rsid w:val="009E50A7"/>
    <w:rsid w:val="009E5F13"/>
    <w:rsid w:val="00A02778"/>
    <w:rsid w:val="00A0318A"/>
    <w:rsid w:val="00A045F7"/>
    <w:rsid w:val="00A07E05"/>
    <w:rsid w:val="00A131C3"/>
    <w:rsid w:val="00A1736D"/>
    <w:rsid w:val="00A2035F"/>
    <w:rsid w:val="00A223FF"/>
    <w:rsid w:val="00A239DA"/>
    <w:rsid w:val="00A33597"/>
    <w:rsid w:val="00A353A3"/>
    <w:rsid w:val="00A413EB"/>
    <w:rsid w:val="00A43972"/>
    <w:rsid w:val="00A47CDD"/>
    <w:rsid w:val="00A55C0C"/>
    <w:rsid w:val="00A60AC6"/>
    <w:rsid w:val="00A60FE7"/>
    <w:rsid w:val="00A6179A"/>
    <w:rsid w:val="00A6328A"/>
    <w:rsid w:val="00A632E8"/>
    <w:rsid w:val="00A6572C"/>
    <w:rsid w:val="00A76171"/>
    <w:rsid w:val="00A778EA"/>
    <w:rsid w:val="00A807EF"/>
    <w:rsid w:val="00A82150"/>
    <w:rsid w:val="00A82C9D"/>
    <w:rsid w:val="00A835DE"/>
    <w:rsid w:val="00A83CBE"/>
    <w:rsid w:val="00A86BB8"/>
    <w:rsid w:val="00A87147"/>
    <w:rsid w:val="00A91917"/>
    <w:rsid w:val="00A941C0"/>
    <w:rsid w:val="00A978FC"/>
    <w:rsid w:val="00AA200E"/>
    <w:rsid w:val="00AA3D9C"/>
    <w:rsid w:val="00AA4415"/>
    <w:rsid w:val="00AA4517"/>
    <w:rsid w:val="00AA7BDB"/>
    <w:rsid w:val="00AB0909"/>
    <w:rsid w:val="00AB20CC"/>
    <w:rsid w:val="00AB2FDD"/>
    <w:rsid w:val="00AC4C59"/>
    <w:rsid w:val="00AC61E8"/>
    <w:rsid w:val="00AD605C"/>
    <w:rsid w:val="00AE5D7B"/>
    <w:rsid w:val="00B037F4"/>
    <w:rsid w:val="00B06B28"/>
    <w:rsid w:val="00B11F83"/>
    <w:rsid w:val="00B12FA4"/>
    <w:rsid w:val="00B17559"/>
    <w:rsid w:val="00B22B0F"/>
    <w:rsid w:val="00B32A01"/>
    <w:rsid w:val="00B408E2"/>
    <w:rsid w:val="00B41690"/>
    <w:rsid w:val="00B46249"/>
    <w:rsid w:val="00B462B2"/>
    <w:rsid w:val="00B53931"/>
    <w:rsid w:val="00B55F8A"/>
    <w:rsid w:val="00B560A2"/>
    <w:rsid w:val="00B5613F"/>
    <w:rsid w:val="00B64112"/>
    <w:rsid w:val="00B678A1"/>
    <w:rsid w:val="00B717BE"/>
    <w:rsid w:val="00B80D11"/>
    <w:rsid w:val="00B916BC"/>
    <w:rsid w:val="00B93876"/>
    <w:rsid w:val="00BA06EE"/>
    <w:rsid w:val="00BA3B47"/>
    <w:rsid w:val="00BA5C5D"/>
    <w:rsid w:val="00BB0A2F"/>
    <w:rsid w:val="00BB29C8"/>
    <w:rsid w:val="00BB5818"/>
    <w:rsid w:val="00BC0242"/>
    <w:rsid w:val="00BD214D"/>
    <w:rsid w:val="00BD2648"/>
    <w:rsid w:val="00BD4EFC"/>
    <w:rsid w:val="00BD4FDB"/>
    <w:rsid w:val="00BE1445"/>
    <w:rsid w:val="00BE2782"/>
    <w:rsid w:val="00BE4867"/>
    <w:rsid w:val="00BE5131"/>
    <w:rsid w:val="00BE5451"/>
    <w:rsid w:val="00BF2FE9"/>
    <w:rsid w:val="00C03D44"/>
    <w:rsid w:val="00C10370"/>
    <w:rsid w:val="00C1220E"/>
    <w:rsid w:val="00C13D27"/>
    <w:rsid w:val="00C25346"/>
    <w:rsid w:val="00C25915"/>
    <w:rsid w:val="00C347C9"/>
    <w:rsid w:val="00C45F08"/>
    <w:rsid w:val="00C55CD9"/>
    <w:rsid w:val="00C6417A"/>
    <w:rsid w:val="00C667E6"/>
    <w:rsid w:val="00C66CFB"/>
    <w:rsid w:val="00C74E9F"/>
    <w:rsid w:val="00C81B08"/>
    <w:rsid w:val="00C84C0B"/>
    <w:rsid w:val="00C862D1"/>
    <w:rsid w:val="00C917E2"/>
    <w:rsid w:val="00CA53DD"/>
    <w:rsid w:val="00CA5D8A"/>
    <w:rsid w:val="00CB6ED0"/>
    <w:rsid w:val="00CC5FF5"/>
    <w:rsid w:val="00CD5A9E"/>
    <w:rsid w:val="00CE1A3A"/>
    <w:rsid w:val="00CE3CDA"/>
    <w:rsid w:val="00CF2A8A"/>
    <w:rsid w:val="00CF5C04"/>
    <w:rsid w:val="00CF797B"/>
    <w:rsid w:val="00D075FC"/>
    <w:rsid w:val="00D077FD"/>
    <w:rsid w:val="00D079C7"/>
    <w:rsid w:val="00D10899"/>
    <w:rsid w:val="00D112A7"/>
    <w:rsid w:val="00D207CC"/>
    <w:rsid w:val="00D30BEF"/>
    <w:rsid w:val="00D30FDC"/>
    <w:rsid w:val="00D331F2"/>
    <w:rsid w:val="00D34BD6"/>
    <w:rsid w:val="00D37CDB"/>
    <w:rsid w:val="00D41C3B"/>
    <w:rsid w:val="00D44179"/>
    <w:rsid w:val="00D44247"/>
    <w:rsid w:val="00D45B88"/>
    <w:rsid w:val="00D46EDA"/>
    <w:rsid w:val="00D56743"/>
    <w:rsid w:val="00D56871"/>
    <w:rsid w:val="00D61820"/>
    <w:rsid w:val="00D63252"/>
    <w:rsid w:val="00D77CDE"/>
    <w:rsid w:val="00D8108B"/>
    <w:rsid w:val="00D81B17"/>
    <w:rsid w:val="00D86920"/>
    <w:rsid w:val="00D87E85"/>
    <w:rsid w:val="00D96E8E"/>
    <w:rsid w:val="00DA07FB"/>
    <w:rsid w:val="00DB0695"/>
    <w:rsid w:val="00DB43DB"/>
    <w:rsid w:val="00DB4AE8"/>
    <w:rsid w:val="00DC0E2F"/>
    <w:rsid w:val="00DC2F18"/>
    <w:rsid w:val="00DC51F4"/>
    <w:rsid w:val="00DD02EC"/>
    <w:rsid w:val="00DD37DC"/>
    <w:rsid w:val="00DE1066"/>
    <w:rsid w:val="00DE4F80"/>
    <w:rsid w:val="00E01CCB"/>
    <w:rsid w:val="00E039B2"/>
    <w:rsid w:val="00E0718F"/>
    <w:rsid w:val="00E10C15"/>
    <w:rsid w:val="00E11264"/>
    <w:rsid w:val="00E13169"/>
    <w:rsid w:val="00E21E52"/>
    <w:rsid w:val="00E22AC9"/>
    <w:rsid w:val="00E2407F"/>
    <w:rsid w:val="00E27CDD"/>
    <w:rsid w:val="00E34F16"/>
    <w:rsid w:val="00E42F60"/>
    <w:rsid w:val="00E505C5"/>
    <w:rsid w:val="00E5546B"/>
    <w:rsid w:val="00E56614"/>
    <w:rsid w:val="00E61C61"/>
    <w:rsid w:val="00E620B8"/>
    <w:rsid w:val="00E67CAA"/>
    <w:rsid w:val="00E7119B"/>
    <w:rsid w:val="00E727C4"/>
    <w:rsid w:val="00E82281"/>
    <w:rsid w:val="00E829F4"/>
    <w:rsid w:val="00E848A1"/>
    <w:rsid w:val="00E94F6D"/>
    <w:rsid w:val="00E966BC"/>
    <w:rsid w:val="00EA2CA8"/>
    <w:rsid w:val="00EA355E"/>
    <w:rsid w:val="00EA752C"/>
    <w:rsid w:val="00EB03A9"/>
    <w:rsid w:val="00EB198A"/>
    <w:rsid w:val="00EB24DF"/>
    <w:rsid w:val="00EB3B4C"/>
    <w:rsid w:val="00EC18F2"/>
    <w:rsid w:val="00ED2D94"/>
    <w:rsid w:val="00EE54EC"/>
    <w:rsid w:val="00EE58A7"/>
    <w:rsid w:val="00EE6710"/>
    <w:rsid w:val="00EE7E7E"/>
    <w:rsid w:val="00EF2B9B"/>
    <w:rsid w:val="00EF55FB"/>
    <w:rsid w:val="00EF5E4F"/>
    <w:rsid w:val="00EF63B3"/>
    <w:rsid w:val="00F00808"/>
    <w:rsid w:val="00F06054"/>
    <w:rsid w:val="00F07A38"/>
    <w:rsid w:val="00F10A19"/>
    <w:rsid w:val="00F10B26"/>
    <w:rsid w:val="00F1692B"/>
    <w:rsid w:val="00F24F13"/>
    <w:rsid w:val="00F41711"/>
    <w:rsid w:val="00F5127F"/>
    <w:rsid w:val="00F63F02"/>
    <w:rsid w:val="00F7285A"/>
    <w:rsid w:val="00F761AA"/>
    <w:rsid w:val="00F8728F"/>
    <w:rsid w:val="00F92732"/>
    <w:rsid w:val="00F9409C"/>
    <w:rsid w:val="00F95998"/>
    <w:rsid w:val="00FA299B"/>
    <w:rsid w:val="00FA407F"/>
    <w:rsid w:val="00FA53A7"/>
    <w:rsid w:val="00FB0DB7"/>
    <w:rsid w:val="00FB3559"/>
    <w:rsid w:val="00FB411E"/>
    <w:rsid w:val="00FB6D8A"/>
    <w:rsid w:val="00FB7233"/>
    <w:rsid w:val="00FB7671"/>
    <w:rsid w:val="00FC66C1"/>
    <w:rsid w:val="00FC7328"/>
    <w:rsid w:val="00FC7645"/>
    <w:rsid w:val="00FC78B9"/>
    <w:rsid w:val="00FD186C"/>
    <w:rsid w:val="00FD22EC"/>
    <w:rsid w:val="00FD532E"/>
    <w:rsid w:val="00FE2C64"/>
    <w:rsid w:val="00FE501F"/>
    <w:rsid w:val="00FE5D4A"/>
    <w:rsid w:val="00FF318B"/>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71101"/>
  <w15:docId w15:val="{61137036-CA45-42C3-B8F8-DE27E597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OSA Note Heading"/>
    <w:basedOn w:val="Normal"/>
    <w:next w:val="Normal"/>
    <w:link w:val="Heading1Char"/>
    <w:qFormat/>
    <w:rsid w:val="001F2102"/>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8D4DDA"/>
    <w:pPr>
      <w:keepLines/>
      <w:pBdr>
        <w:bottom w:val="single" w:sz="12" w:space="1" w:color="auto"/>
      </w:pBdr>
      <w:spacing w:after="600" w:line="240" w:lineRule="auto"/>
      <w:jc w:val="center"/>
      <w:outlineLvl w:val="1"/>
    </w:pPr>
    <w:rPr>
      <w:rFonts w:ascii="Arial Bold" w:eastAsia="Times New Roman" w:hAnsi="Arial Bold" w:cs="Arial"/>
      <w:b/>
      <w:smallCaps/>
      <w:sz w:val="44"/>
      <w:szCs w:val="44"/>
    </w:rPr>
  </w:style>
  <w:style w:type="paragraph" w:styleId="Heading3">
    <w:name w:val="heading 3"/>
    <w:basedOn w:val="Normal"/>
    <w:next w:val="Normal"/>
    <w:link w:val="Heading3Char"/>
    <w:qFormat/>
    <w:rsid w:val="008D4DDA"/>
    <w:pPr>
      <w:spacing w:after="0" w:line="240" w:lineRule="auto"/>
      <w:jc w:val="center"/>
      <w:outlineLvl w:val="2"/>
    </w:pPr>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paragraph" w:styleId="Heading4">
    <w:name w:val="heading 4"/>
    <w:basedOn w:val="Normal"/>
    <w:next w:val="Normal"/>
    <w:link w:val="Heading4Char"/>
    <w:qFormat/>
    <w:rsid w:val="008D4DDA"/>
    <w:pPr>
      <w:pBdr>
        <w:bottom w:val="single" w:sz="36" w:space="1" w:color="auto"/>
      </w:pBdr>
      <w:tabs>
        <w:tab w:val="left" w:pos="288"/>
        <w:tab w:val="right" w:leader="dot" w:pos="8928"/>
      </w:tabs>
      <w:spacing w:after="480" w:line="240" w:lineRule="auto"/>
      <w:jc w:val="center"/>
      <w:outlineLvl w:val="3"/>
    </w:pPr>
    <w:rPr>
      <w:rFonts w:ascii="Arial Bold" w:eastAsia="Times New Roman" w:hAnsi="Arial Bold" w:cs="Times New Roman"/>
      <w:smallCaps/>
      <w:sz w:val="48"/>
      <w:szCs w:val="48"/>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1F2102"/>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8D4DDA"/>
    <w:rPr>
      <w:rFonts w:ascii="Arial Bold" w:eastAsia="Times New Roman" w:hAnsi="Arial Bold" w:cs="Arial"/>
      <w:b/>
      <w:smallCaps/>
      <w:sz w:val="44"/>
      <w:szCs w:val="44"/>
    </w:rPr>
  </w:style>
  <w:style w:type="character" w:customStyle="1" w:styleId="Heading3Char">
    <w:name w:val="Heading 3 Char"/>
    <w:basedOn w:val="DefaultParagraphFont"/>
    <w:link w:val="Heading3"/>
    <w:rsid w:val="008D4DDA"/>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character" w:customStyle="1" w:styleId="Heading4Char">
    <w:name w:val="Heading 4 Char"/>
    <w:basedOn w:val="DefaultParagraphFont"/>
    <w:link w:val="Heading4"/>
    <w:rsid w:val="008D4DDA"/>
    <w:rPr>
      <w:rFonts w:ascii="Arial Bold" w:eastAsia="Times New Roman" w:hAnsi="Arial Bold" w:cs="Times New Roman"/>
      <w:smallCaps/>
      <w:sz w:val="48"/>
      <w:szCs w:val="48"/>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uiPriority w:val="99"/>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uiPriority w:val="99"/>
    <w:rsid w:val="00841121"/>
    <w:rPr>
      <w:sz w:val="16"/>
      <w:szCs w:val="16"/>
    </w:rPr>
  </w:style>
  <w:style w:type="paragraph" w:styleId="CommentText">
    <w:name w:val="annotation text"/>
    <w:basedOn w:val="Normal"/>
    <w:link w:val="CommentTextChar"/>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paragraph" w:customStyle="1" w:styleId="armleftmargin000">
    <w:name w:val="arm_leftmargin_000"/>
    <w:basedOn w:val="Normal"/>
    <w:rsid w:val="009A13DA"/>
    <w:pPr>
      <w:spacing w:after="24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45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2.xlsx"/><Relationship Id="rId21" Type="http://schemas.openxmlformats.org/officeDocument/2006/relationships/image" Target="media/image5.emf"/><Relationship Id="rId42" Type="http://schemas.openxmlformats.org/officeDocument/2006/relationships/image" Target="media/image15.emf"/><Relationship Id="rId47" Type="http://schemas.openxmlformats.org/officeDocument/2006/relationships/package" Target="embeddings/Microsoft_Excel_Worksheet10.xlsx"/><Relationship Id="rId63" Type="http://schemas.openxmlformats.org/officeDocument/2006/relationships/package" Target="embeddings/Microsoft_Excel_Worksheet16.xlsx"/><Relationship Id="rId68" Type="http://schemas.openxmlformats.org/officeDocument/2006/relationships/image" Target="media/image28.emf"/><Relationship Id="rId84" Type="http://schemas.openxmlformats.org/officeDocument/2006/relationships/package" Target="embeddings/Microsoft_Excel_Worksheet25.xlsx"/><Relationship Id="rId89" Type="http://schemas.openxmlformats.org/officeDocument/2006/relationships/image" Target="media/image38.emf"/><Relationship Id="rId16" Type="http://schemas.openxmlformats.org/officeDocument/2006/relationships/oleObject" Target="embeddings/Microsoft_Excel_97-2003_Worksheet.xls"/><Relationship Id="rId11" Type="http://schemas.openxmlformats.org/officeDocument/2006/relationships/image" Target="media/image1.emf"/><Relationship Id="rId32" Type="http://schemas.openxmlformats.org/officeDocument/2006/relationships/image" Target="media/image10.emf"/><Relationship Id="rId37" Type="http://schemas.openxmlformats.org/officeDocument/2006/relationships/oleObject" Target="embeddings/Microsoft_Excel_97-2003_Worksheet6.xls"/><Relationship Id="rId53" Type="http://schemas.openxmlformats.org/officeDocument/2006/relationships/oleObject" Target="embeddings/Microsoft_Excel_97-2003_Worksheet7.xls"/><Relationship Id="rId58" Type="http://schemas.openxmlformats.org/officeDocument/2006/relationships/image" Target="media/image23.emf"/><Relationship Id="rId74" Type="http://schemas.openxmlformats.org/officeDocument/2006/relationships/package" Target="embeddings/Microsoft_Excel_Worksheet20.xlsx"/><Relationship Id="rId79" Type="http://schemas.openxmlformats.org/officeDocument/2006/relationships/image" Target="media/image33.emf"/><Relationship Id="rId5" Type="http://schemas.openxmlformats.org/officeDocument/2006/relationships/numbering" Target="numbering.xml"/><Relationship Id="rId90" Type="http://schemas.openxmlformats.org/officeDocument/2006/relationships/package" Target="embeddings/Microsoft_Excel_Worksheet28.xlsx"/><Relationship Id="rId95" Type="http://schemas.openxmlformats.org/officeDocument/2006/relationships/header" Target="header3.xml"/><Relationship Id="rId22" Type="http://schemas.openxmlformats.org/officeDocument/2006/relationships/oleObject" Target="embeddings/Microsoft_Excel_97-2003_Worksheet3.xls"/><Relationship Id="rId27" Type="http://schemas.openxmlformats.org/officeDocument/2006/relationships/package" Target="embeddings/Microsoft_Excel_Worksheet3.xlsx"/><Relationship Id="rId43" Type="http://schemas.openxmlformats.org/officeDocument/2006/relationships/package" Target="embeddings/Microsoft_Excel_Worksheet8.xlsx"/><Relationship Id="rId48" Type="http://schemas.openxmlformats.org/officeDocument/2006/relationships/image" Target="media/image18.emf"/><Relationship Id="rId64" Type="http://schemas.openxmlformats.org/officeDocument/2006/relationships/image" Target="media/image26.emf"/><Relationship Id="rId69" Type="http://schemas.openxmlformats.org/officeDocument/2006/relationships/oleObject" Target="embeddings/Microsoft_Excel_97-2003_Worksheet9.xls"/><Relationship Id="rId80" Type="http://schemas.openxmlformats.org/officeDocument/2006/relationships/package" Target="embeddings/Microsoft_Excel_Worksheet23.xlsx"/><Relationship Id="rId85" Type="http://schemas.openxmlformats.org/officeDocument/2006/relationships/image" Target="media/image36.emf"/><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package" Target="embeddings/Microsoft_Excel_Worksheet4.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oleObject" Target="embeddings/Microsoft_Excel_97-2003_Worksheet8.xls"/><Relationship Id="rId67" Type="http://schemas.openxmlformats.org/officeDocument/2006/relationships/package" Target="embeddings/Microsoft_Excel_Worksheet18.xlsx"/><Relationship Id="rId20" Type="http://schemas.openxmlformats.org/officeDocument/2006/relationships/oleObject" Target="embeddings/Microsoft_Excel_97-2003_Worksheet2.xls"/><Relationship Id="rId41" Type="http://schemas.openxmlformats.org/officeDocument/2006/relationships/package" Target="embeddings/Microsoft_Excel_Worksheet7.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hyperlink" Target="https://www.osc.nc.gov/" TargetMode="External"/><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package" Target="embeddings/Microsoft_Excel_Worksheet27.xlsx"/><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1.xlsx"/><Relationship Id="rId57" Type="http://schemas.openxmlformats.org/officeDocument/2006/relationships/package" Target="embeddings/Microsoft_Excel_Worksheet14.xlsx"/><Relationship Id="rId10" Type="http://schemas.openxmlformats.org/officeDocument/2006/relationships/endnotes" Target="endnotes.xml"/><Relationship Id="rId31" Type="http://schemas.openxmlformats.org/officeDocument/2006/relationships/oleObject" Target="embeddings/Microsoft_Excel_97-2003_Worksheet5.xls"/><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17.xlsx"/><Relationship Id="rId73" Type="http://schemas.openxmlformats.org/officeDocument/2006/relationships/image" Target="media/image30.emf"/><Relationship Id="rId78" Type="http://schemas.openxmlformats.org/officeDocument/2006/relationships/package" Target="embeddings/Microsoft_Excel_Worksheet22.xlsx"/><Relationship Id="rId81" Type="http://schemas.openxmlformats.org/officeDocument/2006/relationships/image" Target="media/image34.emf"/><Relationship Id="rId86" Type="http://schemas.openxmlformats.org/officeDocument/2006/relationships/package" Target="embeddings/Microsoft_Excel_Worksheet26.xlsx"/><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ctreasurer.com/" TargetMode="External"/><Relationship Id="rId18" Type="http://schemas.openxmlformats.org/officeDocument/2006/relationships/oleObject" Target="embeddings/Microsoft_Excel_97-2003_Worksheet1.xls"/><Relationship Id="rId39" Type="http://schemas.openxmlformats.org/officeDocument/2006/relationships/package" Target="embeddings/Microsoft_Excel_Worksheet6.xlsx"/><Relationship Id="rId34" Type="http://schemas.openxmlformats.org/officeDocument/2006/relationships/image" Target="media/image11.emf"/><Relationship Id="rId50" Type="http://schemas.openxmlformats.org/officeDocument/2006/relationships/image" Target="media/image19.emf"/><Relationship Id="rId55" Type="http://schemas.openxmlformats.org/officeDocument/2006/relationships/package" Target="embeddings/Microsoft_Excel_Worksheet13.xlsx"/><Relationship Id="rId76" Type="http://schemas.openxmlformats.org/officeDocument/2006/relationships/package" Target="embeddings/Microsoft_Excel_Worksheet21.xlsx"/><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9.emf"/><Relationship Id="rId9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oleObject" Target="embeddings/Microsoft_Excel_97-2003_Worksheet4.xls"/><Relationship Id="rId24" Type="http://schemas.openxmlformats.org/officeDocument/2006/relationships/package" Target="embeddings/Microsoft_Excel_Worksheet1.xlsx"/><Relationship Id="rId40" Type="http://schemas.openxmlformats.org/officeDocument/2006/relationships/image" Target="media/image14.emf"/><Relationship Id="rId45" Type="http://schemas.openxmlformats.org/officeDocument/2006/relationships/package" Target="embeddings/Microsoft_Excel_Worksheet9.xlsx"/><Relationship Id="rId66" Type="http://schemas.openxmlformats.org/officeDocument/2006/relationships/image" Target="media/image27.emf"/><Relationship Id="rId87" Type="http://schemas.openxmlformats.org/officeDocument/2006/relationships/image" Target="media/image37.emf"/><Relationship Id="rId61" Type="http://schemas.openxmlformats.org/officeDocument/2006/relationships/package" Target="embeddings/Microsoft_Excel_Worksheet15.xlsx"/><Relationship Id="rId82" Type="http://schemas.openxmlformats.org/officeDocument/2006/relationships/package" Target="embeddings/Microsoft_Excel_Worksheet24.xlsx"/><Relationship Id="rId19" Type="http://schemas.openxmlformats.org/officeDocument/2006/relationships/image" Target="media/image4.emf"/><Relationship Id="rId14" Type="http://schemas.openxmlformats.org/officeDocument/2006/relationships/hyperlink" Target="https://www.nctreasurer.com/" TargetMode="External"/><Relationship Id="rId30" Type="http://schemas.openxmlformats.org/officeDocument/2006/relationships/image" Target="media/image9.emf"/><Relationship Id="rId35" Type="http://schemas.openxmlformats.org/officeDocument/2006/relationships/package" Target="embeddings/Microsoft_Excel_Worksheet5.xlsx"/><Relationship Id="rId56" Type="http://schemas.openxmlformats.org/officeDocument/2006/relationships/image" Target="media/image22.emf"/><Relationship Id="rId77" Type="http://schemas.openxmlformats.org/officeDocument/2006/relationships/image" Target="media/image32.emf"/><Relationship Id="rId8" Type="http://schemas.openxmlformats.org/officeDocument/2006/relationships/webSettings" Target="webSettings.xml"/><Relationship Id="rId51" Type="http://schemas.openxmlformats.org/officeDocument/2006/relationships/package" Target="embeddings/Microsoft_Excel_Worksheet12.xlsx"/><Relationship Id="rId72" Type="http://schemas.openxmlformats.org/officeDocument/2006/relationships/package" Target="embeddings/Microsoft_Excel_Worksheet19.xlsx"/><Relationship Id="rId93" Type="http://schemas.openxmlformats.org/officeDocument/2006/relationships/footer" Target="footer1.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1DAD42F46CBA4198FB73006EE901A8" ma:contentTypeVersion="0" ma:contentTypeDescription="Create a new document." ma:contentTypeScope="" ma:versionID="53f6864e294032e01841a65fcf08b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6AB5A-868E-4EDB-B0C1-20CF2C5B8C7E}">
  <ds:schemaRefs>
    <ds:schemaRef ds:uri="http://schemas.microsoft.com/sharepoint/v3/contenttype/forms"/>
  </ds:schemaRefs>
</ds:datastoreItem>
</file>

<file path=customXml/itemProps2.xml><?xml version="1.0" encoding="utf-8"?>
<ds:datastoreItem xmlns:ds="http://schemas.openxmlformats.org/officeDocument/2006/customXml" ds:itemID="{E01FEC70-AAF9-4728-902A-D7E1A0E7AB66}">
  <ds:schemaRefs>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31BA5D6-C223-4D3B-9D63-71E10DE92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46B9DE4-6580-4BFF-A77F-A1549F91D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59</Pages>
  <Words>18230</Words>
  <Characters>103917</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Ehricht</dc:creator>
  <cp:lastModifiedBy>Ashley Byrd</cp:lastModifiedBy>
  <cp:revision>6</cp:revision>
  <cp:lastPrinted>2020-05-07T18:21:00Z</cp:lastPrinted>
  <dcterms:created xsi:type="dcterms:W3CDTF">2020-09-16T12:44:00Z</dcterms:created>
  <dcterms:modified xsi:type="dcterms:W3CDTF">2020-09-16T14:27:00Z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0x010100BF1DAD42F46CBA4198FB73006EE901A8</vt:lpwstr>
  </property>
  <property fmtid="{D5CDD505-2E9C-101B-9397-08002B2CF9AE}" pid="3" name="Version">
    <vt:i4>20</vt:i4>
  </property>
  <property fmtid="{D5CDD505-2E9C-101B-9397-08002B2CF9AE}" pid="4" name="tabName">
    <vt:lpwstr>Report Preparation</vt:lpwstr>
  </property>
  <property fmtid="{D5CDD505-2E9C-101B-9397-08002B2CF9AE}" pid="5" name="tabIndex">
    <vt:lpwstr>0103</vt:lpwstr>
  </property>
  <property fmtid="{D5CDD505-2E9C-101B-9397-08002B2CF9AE}" pid="6" name="workpaperIndex">
    <vt:lpwstr>103.30a</vt:lpwstr>
  </property>
</Properties>
</file>